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58A01" w14:textId="77777777" w:rsidR="00D12C0C" w:rsidRPr="00FA47C6" w:rsidRDefault="00E237F0" w:rsidP="00D12C0C">
      <w:pPr>
        <w:contextualSpacing/>
        <w:jc w:val="center"/>
        <w:rPr>
          <w:rFonts w:ascii="Sylfaen" w:hAnsi="Sylfaen" w:cstheme="minorHAnsi"/>
          <w:b/>
          <w:sz w:val="20"/>
          <w:szCs w:val="20"/>
          <w:lang w:val="ka-GE"/>
        </w:rPr>
      </w:pPr>
      <w:r w:rsidRPr="00FA47C6">
        <w:rPr>
          <w:rFonts w:ascii="Sylfaen" w:hAnsi="Sylfaen" w:cstheme="minorHAnsi"/>
          <w:b/>
          <w:sz w:val="20"/>
          <w:szCs w:val="20"/>
          <w:lang w:val="ka-GE"/>
        </w:rPr>
        <w:t>ტექ</w:t>
      </w:r>
      <w:r w:rsidR="00D12C0C" w:rsidRPr="00FA47C6">
        <w:rPr>
          <w:rFonts w:ascii="Sylfaen" w:hAnsi="Sylfaen" w:cstheme="minorHAnsi"/>
          <w:b/>
          <w:sz w:val="20"/>
          <w:szCs w:val="20"/>
          <w:lang w:val="ka-GE"/>
        </w:rPr>
        <w:t>ნიკური დავალება</w:t>
      </w:r>
    </w:p>
    <w:p w14:paraId="329C512F" w14:textId="77777777" w:rsidR="00D12C0C" w:rsidRPr="00FA47C6" w:rsidRDefault="00D12C0C" w:rsidP="00D12C0C">
      <w:pPr>
        <w:contextualSpacing/>
        <w:jc w:val="center"/>
        <w:rPr>
          <w:rFonts w:ascii="Sylfaen" w:hAnsi="Sylfaen" w:cstheme="minorHAnsi"/>
          <w:b/>
          <w:sz w:val="20"/>
          <w:szCs w:val="20"/>
          <w:lang w:val="ka-GE"/>
        </w:rPr>
      </w:pPr>
    </w:p>
    <w:p w14:paraId="31E345A0" w14:textId="77777777" w:rsidR="00D12C0C" w:rsidRPr="00FA47C6" w:rsidRDefault="00D12C0C" w:rsidP="00D12C0C">
      <w:pPr>
        <w:contextualSpacing/>
        <w:jc w:val="center"/>
        <w:rPr>
          <w:rFonts w:ascii="Sylfaen" w:hAnsi="Sylfaen" w:cstheme="minorHAnsi"/>
          <w:b/>
          <w:sz w:val="20"/>
          <w:szCs w:val="20"/>
          <w:lang w:val="ka-GE"/>
        </w:rPr>
      </w:pPr>
      <w:r w:rsidRPr="00FA47C6">
        <w:rPr>
          <w:rFonts w:ascii="Sylfaen" w:hAnsi="Sylfaen" w:cstheme="minorHAnsi"/>
          <w:b/>
          <w:sz w:val="20"/>
          <w:szCs w:val="20"/>
          <w:lang w:val="ka-GE"/>
        </w:rPr>
        <w:t>საკონსულტაციო მომსახურების შესყიდვა</w:t>
      </w:r>
    </w:p>
    <w:p w14:paraId="76F2E4E3" w14:textId="77777777" w:rsidR="00D12C0C" w:rsidRPr="00FA47C6" w:rsidRDefault="00D12C0C" w:rsidP="00D12C0C">
      <w:pPr>
        <w:contextualSpacing/>
        <w:jc w:val="center"/>
        <w:rPr>
          <w:rFonts w:ascii="Sylfaen" w:hAnsi="Sylfaen" w:cstheme="minorHAnsi"/>
          <w:b/>
          <w:sz w:val="20"/>
          <w:szCs w:val="20"/>
          <w:lang w:val="ka-GE"/>
        </w:rPr>
      </w:pPr>
    </w:p>
    <w:p w14:paraId="43605F70" w14:textId="0E719894" w:rsidR="000C19F8" w:rsidRPr="00FA47C6" w:rsidRDefault="00D12C0C" w:rsidP="00F43D65">
      <w:pPr>
        <w:contextualSpacing/>
        <w:jc w:val="center"/>
        <w:rPr>
          <w:rFonts w:ascii="Sylfaen" w:hAnsi="Sylfaen" w:cstheme="minorHAnsi"/>
          <w:b/>
          <w:sz w:val="20"/>
          <w:szCs w:val="20"/>
          <w:lang w:val="ka-GE"/>
        </w:rPr>
      </w:pPr>
      <w:r w:rsidRPr="00FA47C6">
        <w:rPr>
          <w:rFonts w:ascii="Sylfaen" w:hAnsi="Sylfaen" w:cstheme="minorHAnsi"/>
          <w:b/>
          <w:sz w:val="20"/>
          <w:szCs w:val="20"/>
          <w:lang w:val="ka-GE"/>
        </w:rPr>
        <w:t xml:space="preserve">ტუბერკულოზის მართვის ხარისხის </w:t>
      </w:r>
      <w:r w:rsidR="000C19F8" w:rsidRPr="00FA47C6">
        <w:rPr>
          <w:rFonts w:ascii="Sylfaen" w:hAnsi="Sylfaen" w:cstheme="minorHAnsi"/>
          <w:b/>
          <w:sz w:val="20"/>
          <w:szCs w:val="20"/>
          <w:lang w:val="ka-GE"/>
        </w:rPr>
        <w:t>გაუმჯობესების მომსახურ</w:t>
      </w:r>
      <w:r w:rsidR="006F119E">
        <w:rPr>
          <w:rFonts w:ascii="Sylfaen" w:hAnsi="Sylfaen" w:cstheme="minorHAnsi"/>
          <w:b/>
          <w:sz w:val="20"/>
          <w:szCs w:val="20"/>
          <w:lang w:val="ka-GE"/>
        </w:rPr>
        <w:t>ება</w:t>
      </w:r>
    </w:p>
    <w:p w14:paraId="315F58DC" w14:textId="77777777" w:rsidR="006F119E" w:rsidRDefault="006F119E" w:rsidP="000C19F8">
      <w:pPr>
        <w:contextualSpacing/>
        <w:jc w:val="center"/>
        <w:rPr>
          <w:rFonts w:ascii="Sylfaen" w:hAnsi="Sylfaen" w:cstheme="minorHAnsi"/>
          <w:b/>
          <w:sz w:val="20"/>
          <w:szCs w:val="20"/>
          <w:lang w:val="ka-GE"/>
        </w:rPr>
      </w:pPr>
    </w:p>
    <w:p w14:paraId="57FB862C" w14:textId="36F72ADA" w:rsidR="000C19F8" w:rsidRPr="000C19F8" w:rsidRDefault="006F119E" w:rsidP="000C19F8">
      <w:pPr>
        <w:contextualSpacing/>
        <w:jc w:val="center"/>
        <w:rPr>
          <w:rFonts w:ascii="Sylfaen" w:hAnsi="Sylfaen" w:cstheme="minorHAnsi"/>
          <w:b/>
          <w:sz w:val="20"/>
          <w:szCs w:val="20"/>
          <w:lang w:val="ka-GE"/>
        </w:rPr>
      </w:pPr>
      <w:r>
        <w:rPr>
          <w:rFonts w:ascii="Sylfaen" w:hAnsi="Sylfaen" w:cstheme="minorHAnsi"/>
          <w:b/>
          <w:sz w:val="20"/>
          <w:szCs w:val="20"/>
          <w:lang w:val="ka-GE"/>
        </w:rPr>
        <w:t>(</w:t>
      </w:r>
      <w:r w:rsidR="000C19F8" w:rsidRPr="00FA47C6">
        <w:rPr>
          <w:rFonts w:ascii="Sylfaen" w:hAnsi="Sylfaen" w:cstheme="minorHAnsi"/>
          <w:b/>
          <w:sz w:val="20"/>
          <w:szCs w:val="20"/>
          <w:lang w:val="ka-GE"/>
        </w:rPr>
        <w:t xml:space="preserve">CPV </w:t>
      </w:r>
      <w:r w:rsidR="000C19F8" w:rsidRPr="000C19F8">
        <w:rPr>
          <w:rFonts w:ascii="Sylfaen" w:hAnsi="Sylfaen" w:cstheme="minorHAnsi"/>
          <w:b/>
          <w:sz w:val="20"/>
          <w:szCs w:val="20"/>
          <w:lang w:val="ka-GE"/>
        </w:rPr>
        <w:t>80500000 - სატრენინგო მომსახურებები</w:t>
      </w:r>
    </w:p>
    <w:p w14:paraId="3BA68C05" w14:textId="4333B2CE" w:rsidR="000C19F8" w:rsidRPr="00FA47C6" w:rsidRDefault="000C19F8" w:rsidP="00F43D65">
      <w:pPr>
        <w:contextualSpacing/>
        <w:jc w:val="center"/>
        <w:rPr>
          <w:rFonts w:ascii="Sylfaen" w:hAnsi="Sylfaen" w:cstheme="minorHAnsi"/>
          <w:b/>
          <w:sz w:val="20"/>
          <w:szCs w:val="20"/>
          <w:lang w:val="ka-GE"/>
        </w:rPr>
      </w:pPr>
      <w:r w:rsidRPr="00FA47C6">
        <w:rPr>
          <w:rFonts w:ascii="Sylfaen" w:hAnsi="Sylfaen" w:cstheme="minorHAnsi"/>
          <w:b/>
          <w:sz w:val="20"/>
          <w:szCs w:val="20"/>
          <w:lang w:val="ka-GE"/>
        </w:rPr>
        <w:t>CPV</w:t>
      </w:r>
      <w:r w:rsidRPr="00FA47C6">
        <w:rPr>
          <w:rFonts w:ascii="Sylfaen" w:hAnsi="Sylfaen" w:cstheme="minorHAnsi"/>
          <w:b/>
          <w:sz w:val="20"/>
          <w:szCs w:val="20"/>
          <w:lang w:val="ka-GE"/>
        </w:rPr>
        <w:t xml:space="preserve"> </w:t>
      </w:r>
      <w:r w:rsidRPr="00FA47C6">
        <w:rPr>
          <w:rFonts w:ascii="Sylfaen" w:hAnsi="Sylfaen" w:cstheme="minorHAnsi"/>
          <w:b/>
          <w:sz w:val="20"/>
          <w:szCs w:val="20"/>
          <w:lang w:val="ka-GE"/>
        </w:rPr>
        <w:t>80561000 - პროფესიული მომზადება ჯანმრთელობის დაცვის სფეროში</w:t>
      </w:r>
      <w:r w:rsidR="006F119E">
        <w:rPr>
          <w:rFonts w:ascii="Sylfaen" w:hAnsi="Sylfaen" w:cstheme="minorHAnsi"/>
          <w:b/>
          <w:sz w:val="20"/>
          <w:szCs w:val="20"/>
          <w:lang w:val="ka-GE"/>
        </w:rPr>
        <w:t>)</w:t>
      </w:r>
    </w:p>
    <w:p w14:paraId="5F43C988" w14:textId="633A144B" w:rsidR="00D12C0C" w:rsidRPr="00FA47C6" w:rsidRDefault="000C19F8" w:rsidP="00F43D65">
      <w:pPr>
        <w:contextualSpacing/>
        <w:jc w:val="center"/>
        <w:rPr>
          <w:rFonts w:ascii="Sylfaen" w:hAnsi="Sylfaen" w:cstheme="minorHAnsi"/>
          <w:b/>
          <w:sz w:val="20"/>
          <w:szCs w:val="20"/>
          <w:lang w:val="ka-GE"/>
        </w:rPr>
      </w:pPr>
      <w:r w:rsidRPr="00FA47C6">
        <w:rPr>
          <w:rFonts w:ascii="Sylfaen" w:hAnsi="Sylfaen" w:cstheme="minorHAnsi"/>
          <w:b/>
          <w:sz w:val="20"/>
          <w:szCs w:val="20"/>
          <w:lang w:val="ka-GE"/>
        </w:rPr>
        <w:t xml:space="preserve"> </w:t>
      </w:r>
    </w:p>
    <w:p w14:paraId="469743FE" w14:textId="77777777" w:rsidR="00F70781" w:rsidRPr="00FA47C6" w:rsidRDefault="00F70781" w:rsidP="00AE02B1">
      <w:pPr>
        <w:spacing w:line="276" w:lineRule="auto"/>
        <w:rPr>
          <w:rFonts w:ascii="Sylfaen" w:hAnsi="Sylfaen" w:cstheme="minorHAnsi"/>
          <w:b/>
          <w:bCs/>
          <w:sz w:val="20"/>
          <w:szCs w:val="20"/>
        </w:rPr>
      </w:pPr>
    </w:p>
    <w:p w14:paraId="34183C18" w14:textId="77777777" w:rsidR="00C80DFB" w:rsidRPr="00FA47C6" w:rsidRDefault="00D12C0C" w:rsidP="00547FBD">
      <w:pPr>
        <w:contextualSpacing/>
        <w:jc w:val="both"/>
        <w:rPr>
          <w:rFonts w:ascii="Sylfaen" w:hAnsi="Sylfaen" w:cstheme="minorHAnsi"/>
          <w:b/>
          <w:sz w:val="20"/>
          <w:szCs w:val="20"/>
          <w:lang w:val="ka-GE"/>
        </w:rPr>
      </w:pPr>
      <w:r w:rsidRPr="00FA47C6">
        <w:rPr>
          <w:rFonts w:ascii="Sylfaen" w:hAnsi="Sylfaen" w:cstheme="minorHAnsi"/>
          <w:b/>
          <w:sz w:val="20"/>
          <w:szCs w:val="20"/>
          <w:lang w:val="ka-GE"/>
        </w:rPr>
        <w:t>შესავალი</w:t>
      </w:r>
    </w:p>
    <w:p w14:paraId="20C62FE0" w14:textId="77777777" w:rsidR="00862E04" w:rsidRPr="00FA47C6" w:rsidRDefault="00862E04" w:rsidP="00547FBD">
      <w:pPr>
        <w:contextualSpacing/>
        <w:jc w:val="both"/>
        <w:rPr>
          <w:rFonts w:ascii="Sylfaen" w:hAnsi="Sylfaen" w:cstheme="minorHAnsi"/>
          <w:sz w:val="20"/>
          <w:szCs w:val="20"/>
          <w:lang w:val="ka-GE"/>
        </w:rPr>
      </w:pPr>
    </w:p>
    <w:p w14:paraId="6E275EF7" w14:textId="77777777" w:rsidR="00C0408C" w:rsidRPr="00FA47C6" w:rsidRDefault="00C0408C" w:rsidP="00C0408C">
      <w:pPr>
        <w:jc w:val="both"/>
        <w:rPr>
          <w:rFonts w:ascii="Sylfaen" w:hAnsi="Sylfaen" w:cstheme="minorHAnsi"/>
          <w:sz w:val="20"/>
          <w:szCs w:val="20"/>
          <w:lang w:val="ka-GE"/>
        </w:rPr>
      </w:pPr>
      <w:r w:rsidRPr="00FA47C6">
        <w:rPr>
          <w:rFonts w:ascii="Sylfaen" w:hAnsi="Sylfaen" w:cstheme="minorHAnsi"/>
          <w:sz w:val="20"/>
          <w:szCs w:val="20"/>
          <w:lang w:val="ka-GE"/>
        </w:rPr>
        <w:t xml:space="preserve">ჯანმრთელობის ეროვნული პროგრამები სულ უფრო მეტ ყურადღებას უთმობენ არა მხოლოდ სამედიცინო დახმარების ხელმისაწვდომობის გაზრდას, არამედ მისი ხარისხის გაუმჯობესებას. მტკიცებულებებზე დაფუძნებული გაიდლაინებისა და სტანდარტების გამოყენება ხარისხის გაუმჯობესების ერთ-ერთი კომპონენტია. მკაფიო გაიდლაინების და სტანდარტების დანერგვა ხელს უწყობს სამედიცინო დახმარების ხარისხის უზრუნველყოფას, მკურნალობის შედეგების გაუმჯობესებას და ხარჯ-ეფექტურობის ამაღლებას. ამავე დროს, გაიდლანები და სტანდარტები წარმოადგენს ეტალონს სამედიცინო დახმარების ხარისხის და პროვაიდერის ან სისტემის მუშაობის შეფასებისათვის. ხარისხის არსებული და მოსალოდნელი დონის შეფასებას აადვილებს ასეთ სტანდარტებთან შედარება. მტკიცებულებებზე დაფუძნებულ გაიდლაინებს და სტანდარტებს გადამწყვეტი მნიშვნელობა აქვს სამედიცინო დახმარების ეფექტურობისა და ეფექტიანობის გაუმჯობესებისთვის. </w:t>
      </w:r>
    </w:p>
    <w:p w14:paraId="77732B94" w14:textId="77777777" w:rsidR="00C0408C" w:rsidRPr="00FA47C6" w:rsidRDefault="00C0408C" w:rsidP="00547FBD">
      <w:pPr>
        <w:contextualSpacing/>
        <w:jc w:val="both"/>
        <w:rPr>
          <w:rFonts w:ascii="Sylfaen" w:hAnsi="Sylfaen" w:cstheme="minorHAnsi"/>
          <w:sz w:val="20"/>
          <w:szCs w:val="20"/>
          <w:lang w:val="ka-GE"/>
        </w:rPr>
      </w:pPr>
    </w:p>
    <w:p w14:paraId="185BC4BB" w14:textId="77777777" w:rsidR="00D12C0C" w:rsidRPr="00FA47C6" w:rsidRDefault="00D12C0C" w:rsidP="00547FBD">
      <w:pPr>
        <w:contextualSpacing/>
        <w:jc w:val="both"/>
        <w:rPr>
          <w:rFonts w:ascii="Sylfaen" w:hAnsi="Sylfaen" w:cstheme="minorHAnsi"/>
          <w:sz w:val="20"/>
          <w:szCs w:val="20"/>
          <w:lang w:val="ka-GE"/>
        </w:rPr>
      </w:pPr>
      <w:r w:rsidRPr="00FA47C6">
        <w:rPr>
          <w:rFonts w:ascii="Sylfaen" w:hAnsi="Sylfaen" w:cstheme="minorHAnsi"/>
          <w:sz w:val="20"/>
          <w:szCs w:val="20"/>
          <w:lang w:val="ka-GE"/>
        </w:rPr>
        <w:t>20</w:t>
      </w:r>
      <w:r w:rsidR="00DC10EF" w:rsidRPr="00FA47C6">
        <w:rPr>
          <w:rFonts w:ascii="Sylfaen" w:hAnsi="Sylfaen" w:cstheme="minorHAnsi"/>
          <w:sz w:val="20"/>
          <w:szCs w:val="20"/>
        </w:rPr>
        <w:t>21</w:t>
      </w:r>
      <w:r w:rsidRPr="00FA47C6">
        <w:rPr>
          <w:rFonts w:ascii="Sylfaen" w:hAnsi="Sylfaen" w:cstheme="minorHAnsi"/>
          <w:sz w:val="20"/>
          <w:szCs w:val="20"/>
          <w:lang w:val="ka-GE"/>
        </w:rPr>
        <w:t xml:space="preserve"> წელს ჯანმრთელობის მსოფლიო ორგანიზაციამ გამოაქვეყნა ტუბერკულოზის </w:t>
      </w:r>
      <w:r w:rsidR="00DC10EF" w:rsidRPr="00FA47C6">
        <w:rPr>
          <w:rFonts w:ascii="Sylfaen" w:hAnsi="Sylfaen" w:cstheme="minorHAnsi"/>
          <w:sz w:val="20"/>
          <w:szCs w:val="20"/>
          <w:lang w:val="ka-GE"/>
        </w:rPr>
        <w:t>სკრინინგის</w:t>
      </w:r>
      <w:r w:rsidRPr="00FA47C6">
        <w:rPr>
          <w:rFonts w:ascii="Sylfaen" w:hAnsi="Sylfaen" w:cstheme="minorHAnsi"/>
          <w:sz w:val="20"/>
          <w:szCs w:val="20"/>
          <w:lang w:val="ka-GE"/>
        </w:rPr>
        <w:t xml:space="preserve"> კონსოლიდირებული გაიდლაინი, რომელიც მნიშვნელოვან ცვლილებებს მოიცავს</w:t>
      </w:r>
      <w:r w:rsidR="00DC10EF" w:rsidRPr="00FA47C6">
        <w:rPr>
          <w:rFonts w:ascii="Sylfaen" w:hAnsi="Sylfaen" w:cstheme="minorHAnsi"/>
          <w:sz w:val="20"/>
          <w:szCs w:val="20"/>
          <w:lang w:val="ka-GE"/>
        </w:rPr>
        <w:t>. ასევე, გაავრცელა ინფორმაცია, რომ მტკიცებულებების განხილვის საფუძველზე ჩამოყალიბდა ახალი რეკომენდაციები და იგეგმება ტუბერკულოზის დიაგნოსტიკისა და მკურნალობის ახალი სქემების შემოთავაზება. განახლებული</w:t>
      </w:r>
      <w:r w:rsidRPr="00FA47C6">
        <w:rPr>
          <w:rFonts w:ascii="Sylfaen" w:hAnsi="Sylfaen" w:cstheme="minorHAnsi"/>
          <w:sz w:val="20"/>
          <w:szCs w:val="20"/>
          <w:lang w:val="ka-GE"/>
        </w:rPr>
        <w:t xml:space="preserve"> გაიდლაინი</w:t>
      </w:r>
      <w:r w:rsidR="00DC10EF" w:rsidRPr="00FA47C6">
        <w:rPr>
          <w:rFonts w:ascii="Sylfaen" w:hAnsi="Sylfaen" w:cstheme="minorHAnsi"/>
          <w:sz w:val="20"/>
          <w:szCs w:val="20"/>
          <w:lang w:val="ka-GE"/>
        </w:rPr>
        <w:t>ს გამოქვეყნება</w:t>
      </w:r>
      <w:r w:rsidRPr="00FA47C6">
        <w:rPr>
          <w:rFonts w:ascii="Sylfaen" w:hAnsi="Sylfaen" w:cstheme="minorHAnsi"/>
          <w:sz w:val="20"/>
          <w:szCs w:val="20"/>
          <w:lang w:val="ka-GE"/>
        </w:rPr>
        <w:t xml:space="preserve"> მოსალოდნელია 202</w:t>
      </w:r>
      <w:r w:rsidR="00DC10EF" w:rsidRPr="00FA47C6">
        <w:rPr>
          <w:rFonts w:ascii="Sylfaen" w:hAnsi="Sylfaen" w:cstheme="minorHAnsi"/>
          <w:sz w:val="20"/>
          <w:szCs w:val="20"/>
          <w:lang w:val="ka-GE"/>
        </w:rPr>
        <w:t>1</w:t>
      </w:r>
      <w:r w:rsidRPr="00FA47C6">
        <w:rPr>
          <w:rFonts w:ascii="Sylfaen" w:hAnsi="Sylfaen" w:cstheme="minorHAnsi"/>
          <w:sz w:val="20"/>
          <w:szCs w:val="20"/>
          <w:lang w:val="ka-GE"/>
        </w:rPr>
        <w:t xml:space="preserve"> წლის </w:t>
      </w:r>
      <w:r w:rsidR="00DC10EF" w:rsidRPr="00FA47C6">
        <w:rPr>
          <w:rFonts w:ascii="Sylfaen" w:hAnsi="Sylfaen" w:cstheme="minorHAnsi"/>
          <w:sz w:val="20"/>
          <w:szCs w:val="20"/>
          <w:lang w:val="ka-GE"/>
        </w:rPr>
        <w:t>ბოლოსთვის</w:t>
      </w:r>
      <w:r w:rsidRPr="00FA47C6">
        <w:rPr>
          <w:rFonts w:ascii="Sylfaen" w:hAnsi="Sylfaen" w:cstheme="minorHAnsi"/>
          <w:sz w:val="20"/>
          <w:szCs w:val="20"/>
          <w:lang w:val="ka-GE"/>
        </w:rPr>
        <w:t>.</w:t>
      </w:r>
    </w:p>
    <w:p w14:paraId="1396E612" w14:textId="77777777" w:rsidR="00D12C0C" w:rsidRPr="00FA47C6" w:rsidRDefault="00D12C0C" w:rsidP="00547FBD">
      <w:pPr>
        <w:contextualSpacing/>
        <w:jc w:val="both"/>
        <w:rPr>
          <w:rFonts w:ascii="Sylfaen" w:hAnsi="Sylfaen" w:cstheme="minorHAnsi"/>
          <w:sz w:val="20"/>
          <w:szCs w:val="20"/>
          <w:lang w:val="ka-GE"/>
        </w:rPr>
      </w:pPr>
    </w:p>
    <w:p w14:paraId="1F04F37E" w14:textId="77777777" w:rsidR="00C0408C" w:rsidRPr="00FA47C6" w:rsidRDefault="00D12C0C" w:rsidP="00C0408C">
      <w:pPr>
        <w:jc w:val="both"/>
        <w:rPr>
          <w:rFonts w:ascii="Sylfaen" w:hAnsi="Sylfaen" w:cstheme="minorHAnsi"/>
          <w:sz w:val="20"/>
          <w:szCs w:val="20"/>
          <w:lang w:val="ka-GE"/>
        </w:rPr>
      </w:pPr>
      <w:r w:rsidRPr="00FA47C6">
        <w:rPr>
          <w:rFonts w:ascii="Sylfaen" w:hAnsi="Sylfaen" w:cstheme="minorHAnsi"/>
          <w:sz w:val="20"/>
          <w:szCs w:val="20"/>
          <w:lang w:val="ka-GE"/>
        </w:rPr>
        <w:t>20</w:t>
      </w:r>
      <w:r w:rsidR="00DC10EF" w:rsidRPr="00FA47C6">
        <w:rPr>
          <w:rFonts w:ascii="Sylfaen" w:hAnsi="Sylfaen" w:cstheme="minorHAnsi"/>
          <w:sz w:val="20"/>
          <w:szCs w:val="20"/>
          <w:lang w:val="ka-GE"/>
        </w:rPr>
        <w:t>20</w:t>
      </w:r>
      <w:r w:rsidR="00C0408C" w:rsidRPr="00FA47C6">
        <w:rPr>
          <w:rFonts w:ascii="Sylfaen" w:hAnsi="Sylfaen" w:cstheme="minorHAnsi"/>
          <w:sz w:val="20"/>
          <w:szCs w:val="20"/>
          <w:lang w:val="ka-GE"/>
        </w:rPr>
        <w:t>-2021</w:t>
      </w:r>
      <w:r w:rsidRPr="00FA47C6">
        <w:rPr>
          <w:rFonts w:ascii="Sylfaen" w:hAnsi="Sylfaen" w:cstheme="minorHAnsi"/>
          <w:sz w:val="20"/>
          <w:szCs w:val="20"/>
          <w:lang w:val="ka-GE"/>
        </w:rPr>
        <w:t xml:space="preserve"> წ</w:t>
      </w:r>
      <w:r w:rsidR="00C0408C" w:rsidRPr="00FA47C6">
        <w:rPr>
          <w:rFonts w:ascii="Sylfaen" w:hAnsi="Sylfaen" w:cstheme="minorHAnsi"/>
          <w:sz w:val="20"/>
          <w:szCs w:val="20"/>
          <w:lang w:val="ka-GE"/>
        </w:rPr>
        <w:t xml:space="preserve">ლებში </w:t>
      </w:r>
      <w:r w:rsidRPr="00FA47C6">
        <w:rPr>
          <w:rFonts w:ascii="Sylfaen" w:hAnsi="Sylfaen" w:cstheme="minorHAnsi"/>
          <w:sz w:val="20"/>
          <w:szCs w:val="20"/>
          <w:lang w:val="ka-GE"/>
        </w:rPr>
        <w:t xml:space="preserve">ჯანმოს რეკომენდაციების შესაბამისად </w:t>
      </w:r>
      <w:r w:rsidR="005F4CC5" w:rsidRPr="00FA47C6">
        <w:rPr>
          <w:rFonts w:ascii="Sylfaen" w:hAnsi="Sylfaen" w:cstheme="minorHAnsi"/>
          <w:sz w:val="20"/>
          <w:szCs w:val="20"/>
          <w:lang w:val="ka-GE"/>
        </w:rPr>
        <w:t>საქართ</w:t>
      </w:r>
      <w:r w:rsidR="00C0408C" w:rsidRPr="00FA47C6">
        <w:rPr>
          <w:rFonts w:ascii="Sylfaen" w:hAnsi="Sylfaen" w:cstheme="minorHAnsi"/>
          <w:sz w:val="20"/>
          <w:szCs w:val="20"/>
          <w:lang w:val="ka-GE"/>
        </w:rPr>
        <w:t>ვ</w:t>
      </w:r>
      <w:r w:rsidR="005F4CC5" w:rsidRPr="00FA47C6">
        <w:rPr>
          <w:rFonts w:ascii="Sylfaen" w:hAnsi="Sylfaen" w:cstheme="minorHAnsi"/>
          <w:sz w:val="20"/>
          <w:szCs w:val="20"/>
          <w:lang w:val="ka-GE"/>
        </w:rPr>
        <w:t xml:space="preserve">ელოში განახლდა და დამტკიცდა </w:t>
      </w:r>
      <w:r w:rsidRPr="00FA47C6">
        <w:rPr>
          <w:rFonts w:ascii="Sylfaen" w:hAnsi="Sylfaen" w:cstheme="minorHAnsi"/>
          <w:sz w:val="20"/>
          <w:szCs w:val="20"/>
          <w:lang w:val="ka-GE"/>
        </w:rPr>
        <w:t>ტუბერკულოზის მართვის გაიდლაინი</w:t>
      </w:r>
      <w:r w:rsidR="00DC10EF" w:rsidRPr="00FA47C6">
        <w:rPr>
          <w:rFonts w:ascii="Sylfaen" w:hAnsi="Sylfaen" w:cstheme="minorHAnsi"/>
          <w:sz w:val="20"/>
          <w:szCs w:val="20"/>
          <w:lang w:val="ka-GE"/>
        </w:rPr>
        <w:t>,</w:t>
      </w:r>
      <w:r w:rsidR="005F4CC5" w:rsidRPr="00FA47C6">
        <w:rPr>
          <w:rFonts w:ascii="Sylfaen" w:hAnsi="Sylfaen" w:cstheme="minorHAnsi"/>
          <w:sz w:val="20"/>
          <w:szCs w:val="20"/>
          <w:lang w:val="ka-GE"/>
        </w:rPr>
        <w:t xml:space="preserve"> </w:t>
      </w:r>
      <w:r w:rsidR="00DC10EF" w:rsidRPr="00FA47C6">
        <w:rPr>
          <w:rFonts w:ascii="Sylfaen" w:hAnsi="Sylfaen" w:cstheme="minorHAnsi"/>
          <w:sz w:val="20"/>
          <w:szCs w:val="20"/>
          <w:lang w:val="ka-GE"/>
        </w:rPr>
        <w:t>ბავშვთა ასაკში ტუბერკულოზის მართვისა და ლატენტური ტუბერკულოზური ინფექციის მართვის გაიდლაინები</w:t>
      </w:r>
      <w:r w:rsidR="00C0408C" w:rsidRPr="00FA47C6">
        <w:rPr>
          <w:rFonts w:ascii="Sylfaen" w:hAnsi="Sylfaen" w:cstheme="minorHAnsi"/>
          <w:sz w:val="20"/>
          <w:szCs w:val="20"/>
        </w:rPr>
        <w:t xml:space="preserve">. </w:t>
      </w:r>
      <w:r w:rsidR="00C0408C" w:rsidRPr="00FA47C6">
        <w:rPr>
          <w:rFonts w:ascii="Sylfaen" w:hAnsi="Sylfaen" w:cstheme="minorHAnsi"/>
          <w:sz w:val="20"/>
          <w:szCs w:val="20"/>
          <w:lang w:val="ka-GE"/>
        </w:rPr>
        <w:t>თუმცა, მხოლოდ გაიდლაინების შექმნა და გავრცელება არ არის საკმარისი და აუცილებელია მათი ინტეგრაცია ხარისხის მართვის პროგრამაში.</w:t>
      </w:r>
    </w:p>
    <w:p w14:paraId="1BFDF008" w14:textId="77777777" w:rsidR="00D12C0C" w:rsidRPr="00FA47C6" w:rsidRDefault="00D12C0C" w:rsidP="00547FBD">
      <w:pPr>
        <w:contextualSpacing/>
        <w:jc w:val="both"/>
        <w:rPr>
          <w:rFonts w:ascii="Sylfaen" w:hAnsi="Sylfaen" w:cstheme="minorHAnsi"/>
          <w:sz w:val="20"/>
          <w:szCs w:val="20"/>
          <w:lang w:val="ka-GE"/>
        </w:rPr>
      </w:pPr>
    </w:p>
    <w:p w14:paraId="081EEE43" w14:textId="77777777" w:rsidR="007D6FFF" w:rsidRPr="00FA47C6" w:rsidRDefault="005F4CC5" w:rsidP="00547FBD">
      <w:pPr>
        <w:contextualSpacing/>
        <w:jc w:val="both"/>
        <w:rPr>
          <w:rFonts w:ascii="Sylfaen" w:hAnsi="Sylfaen" w:cstheme="minorHAnsi"/>
          <w:b/>
          <w:sz w:val="20"/>
          <w:szCs w:val="20"/>
          <w:lang w:val="ka-GE"/>
        </w:rPr>
      </w:pPr>
      <w:r w:rsidRPr="00FA47C6">
        <w:rPr>
          <w:rFonts w:ascii="Sylfaen" w:hAnsi="Sylfaen" w:cstheme="minorHAnsi"/>
          <w:b/>
          <w:sz w:val="20"/>
          <w:szCs w:val="20"/>
          <w:lang w:val="ka-GE"/>
        </w:rPr>
        <w:t xml:space="preserve">მიზანი </w:t>
      </w:r>
    </w:p>
    <w:p w14:paraId="25A73E75" w14:textId="77777777" w:rsidR="005F4CC5" w:rsidRPr="00FA47C6" w:rsidRDefault="005F4CC5" w:rsidP="005F4CC5">
      <w:pPr>
        <w:pStyle w:val="ListParagraph"/>
        <w:spacing w:line="276" w:lineRule="auto"/>
        <w:ind w:left="360"/>
        <w:rPr>
          <w:rFonts w:ascii="Sylfaen" w:hAnsi="Sylfaen" w:cstheme="minorHAnsi"/>
          <w:b/>
          <w:sz w:val="20"/>
          <w:szCs w:val="20"/>
        </w:rPr>
      </w:pPr>
    </w:p>
    <w:p w14:paraId="1C13D83C" w14:textId="77777777" w:rsidR="005F4CC5" w:rsidRPr="00FA47C6" w:rsidRDefault="005F4CC5" w:rsidP="00547FBD">
      <w:pPr>
        <w:contextualSpacing/>
        <w:jc w:val="both"/>
        <w:rPr>
          <w:rFonts w:ascii="Sylfaen" w:hAnsi="Sylfaen" w:cstheme="minorHAnsi"/>
          <w:sz w:val="20"/>
          <w:szCs w:val="20"/>
          <w:lang w:val="ka-GE"/>
        </w:rPr>
      </w:pPr>
      <w:r w:rsidRPr="00FA47C6">
        <w:rPr>
          <w:rFonts w:ascii="Sylfaen" w:hAnsi="Sylfaen" w:cstheme="minorHAnsi"/>
          <w:sz w:val="20"/>
          <w:szCs w:val="20"/>
          <w:lang w:val="ka-GE"/>
        </w:rPr>
        <w:t xml:space="preserve">მომსახურების შესყიდვის ძირითადი მიზანია ტუბერკულოზის მართვის </w:t>
      </w:r>
      <w:r w:rsidR="0095723B" w:rsidRPr="00FA47C6">
        <w:rPr>
          <w:rFonts w:ascii="Sylfaen" w:hAnsi="Sylfaen" w:cstheme="minorHAnsi"/>
          <w:sz w:val="20"/>
          <w:szCs w:val="20"/>
          <w:lang w:val="ka-GE"/>
        </w:rPr>
        <w:t xml:space="preserve">ხარისხის გაუმჯობესება </w:t>
      </w:r>
      <w:r w:rsidRPr="00FA47C6">
        <w:rPr>
          <w:rFonts w:ascii="Sylfaen" w:hAnsi="Sylfaen" w:cstheme="minorHAnsi"/>
          <w:sz w:val="20"/>
          <w:szCs w:val="20"/>
          <w:lang w:val="ka-GE"/>
        </w:rPr>
        <w:t xml:space="preserve">განახლებული გაიდლაინების </w:t>
      </w:r>
      <w:r w:rsidR="0095723B" w:rsidRPr="00FA47C6">
        <w:rPr>
          <w:rFonts w:ascii="Sylfaen" w:hAnsi="Sylfaen" w:cstheme="minorHAnsi"/>
          <w:sz w:val="20"/>
          <w:szCs w:val="20"/>
          <w:lang w:val="ka-GE"/>
        </w:rPr>
        <w:t xml:space="preserve">რეკომენდაციების </w:t>
      </w:r>
      <w:r w:rsidRPr="00FA47C6">
        <w:rPr>
          <w:rFonts w:ascii="Sylfaen" w:hAnsi="Sylfaen" w:cstheme="minorHAnsi"/>
          <w:sz w:val="20"/>
          <w:szCs w:val="20"/>
          <w:lang w:val="ka-GE"/>
        </w:rPr>
        <w:t>დანერგვის</w:t>
      </w:r>
      <w:r w:rsidR="00E237F0" w:rsidRPr="00FA47C6">
        <w:rPr>
          <w:rFonts w:ascii="Sylfaen" w:hAnsi="Sylfaen" w:cstheme="minorHAnsi"/>
          <w:sz w:val="20"/>
          <w:szCs w:val="20"/>
          <w:lang w:val="ka-GE"/>
        </w:rPr>
        <w:t>ა</w:t>
      </w:r>
      <w:r w:rsidRPr="00FA47C6">
        <w:rPr>
          <w:rFonts w:ascii="Sylfaen" w:hAnsi="Sylfaen" w:cstheme="minorHAnsi"/>
          <w:sz w:val="20"/>
          <w:szCs w:val="20"/>
          <w:lang w:val="ka-GE"/>
        </w:rPr>
        <w:t xml:space="preserve"> </w:t>
      </w:r>
      <w:r w:rsidR="00E237F0" w:rsidRPr="00FA47C6">
        <w:rPr>
          <w:rFonts w:ascii="Sylfaen" w:hAnsi="Sylfaen" w:cstheme="minorHAnsi"/>
          <w:sz w:val="20"/>
          <w:szCs w:val="20"/>
          <w:lang w:val="ka-GE"/>
        </w:rPr>
        <w:t xml:space="preserve"> და ხარისხის მართვის შესაძლებლობის განვითარების გზით. </w:t>
      </w:r>
    </w:p>
    <w:p w14:paraId="405B4572" w14:textId="77777777" w:rsidR="005F4CC5" w:rsidRPr="00FA47C6" w:rsidRDefault="005F4CC5" w:rsidP="00C05C78">
      <w:pPr>
        <w:spacing w:line="276" w:lineRule="auto"/>
        <w:rPr>
          <w:rFonts w:ascii="Sylfaen" w:hAnsi="Sylfaen" w:cstheme="minorHAnsi"/>
          <w:sz w:val="20"/>
          <w:szCs w:val="20"/>
          <w:lang w:eastAsia="fr-CH"/>
        </w:rPr>
      </w:pPr>
    </w:p>
    <w:p w14:paraId="0884037B" w14:textId="77777777" w:rsidR="0095723B" w:rsidRPr="00FA47C6" w:rsidRDefault="0095723B" w:rsidP="00547FBD">
      <w:pPr>
        <w:contextualSpacing/>
        <w:jc w:val="both"/>
        <w:rPr>
          <w:rFonts w:ascii="Sylfaen" w:hAnsi="Sylfaen" w:cstheme="minorHAnsi"/>
          <w:b/>
          <w:sz w:val="20"/>
          <w:szCs w:val="20"/>
          <w:lang w:val="ka-GE"/>
        </w:rPr>
      </w:pPr>
      <w:r w:rsidRPr="00FA47C6">
        <w:rPr>
          <w:rFonts w:ascii="Sylfaen" w:hAnsi="Sylfaen" w:cstheme="minorHAnsi"/>
          <w:b/>
          <w:sz w:val="20"/>
          <w:szCs w:val="20"/>
          <w:lang w:val="ka-GE"/>
        </w:rPr>
        <w:t>ამოცანა 1</w:t>
      </w:r>
    </w:p>
    <w:p w14:paraId="4B8629B9" w14:textId="77777777" w:rsidR="0095723B" w:rsidRPr="00FA47C6" w:rsidRDefault="0095723B" w:rsidP="00547FBD">
      <w:pPr>
        <w:contextualSpacing/>
        <w:jc w:val="both"/>
        <w:rPr>
          <w:rFonts w:ascii="Sylfaen" w:hAnsi="Sylfaen" w:cstheme="minorHAnsi"/>
          <w:sz w:val="20"/>
          <w:szCs w:val="20"/>
          <w:lang w:val="ka-GE"/>
        </w:rPr>
      </w:pPr>
      <w:r w:rsidRPr="00FA47C6">
        <w:rPr>
          <w:rFonts w:ascii="Sylfaen" w:hAnsi="Sylfaen" w:cstheme="minorHAnsi"/>
          <w:sz w:val="20"/>
          <w:szCs w:val="20"/>
          <w:lang w:val="ka-GE"/>
        </w:rPr>
        <w:t>ტუბერკულოზის მართვის გაიდლაინის განახლება და მისი დანერგვის ხელშეწყობა</w:t>
      </w:r>
    </w:p>
    <w:p w14:paraId="7174BBBD" w14:textId="77777777" w:rsidR="000C19F8" w:rsidRPr="00FA47C6" w:rsidRDefault="000C19F8" w:rsidP="00547FBD">
      <w:pPr>
        <w:contextualSpacing/>
        <w:jc w:val="both"/>
        <w:rPr>
          <w:rFonts w:ascii="Sylfaen" w:hAnsi="Sylfaen" w:cstheme="minorHAnsi"/>
          <w:b/>
          <w:sz w:val="20"/>
          <w:szCs w:val="20"/>
          <w:lang w:val="ka-GE"/>
        </w:rPr>
      </w:pPr>
    </w:p>
    <w:p w14:paraId="26534503" w14:textId="77777777" w:rsidR="000C19F8" w:rsidRPr="00FA47C6" w:rsidRDefault="000C19F8" w:rsidP="00547FBD">
      <w:pPr>
        <w:contextualSpacing/>
        <w:jc w:val="both"/>
        <w:rPr>
          <w:rFonts w:ascii="Sylfaen" w:hAnsi="Sylfaen" w:cstheme="minorHAnsi"/>
          <w:b/>
          <w:sz w:val="20"/>
          <w:szCs w:val="20"/>
          <w:lang w:val="ka-GE"/>
        </w:rPr>
      </w:pPr>
    </w:p>
    <w:p w14:paraId="5B417CF5" w14:textId="77777777" w:rsidR="0037584A" w:rsidRDefault="0037584A" w:rsidP="00547FBD">
      <w:pPr>
        <w:contextualSpacing/>
        <w:jc w:val="both"/>
        <w:rPr>
          <w:rFonts w:ascii="Sylfaen" w:hAnsi="Sylfaen" w:cstheme="minorHAnsi"/>
          <w:b/>
          <w:sz w:val="20"/>
          <w:szCs w:val="20"/>
          <w:lang w:val="ka-GE"/>
        </w:rPr>
      </w:pPr>
    </w:p>
    <w:p w14:paraId="7A63BA83" w14:textId="77777777" w:rsidR="0037584A" w:rsidRDefault="0037584A" w:rsidP="00547FBD">
      <w:pPr>
        <w:contextualSpacing/>
        <w:jc w:val="both"/>
        <w:rPr>
          <w:rFonts w:ascii="Sylfaen" w:hAnsi="Sylfaen" w:cstheme="minorHAnsi"/>
          <w:b/>
          <w:sz w:val="20"/>
          <w:szCs w:val="20"/>
          <w:lang w:val="ka-GE"/>
        </w:rPr>
      </w:pPr>
    </w:p>
    <w:p w14:paraId="5EF728ED" w14:textId="77777777" w:rsidR="0037584A" w:rsidRDefault="0037584A" w:rsidP="00547FBD">
      <w:pPr>
        <w:contextualSpacing/>
        <w:jc w:val="both"/>
        <w:rPr>
          <w:rFonts w:ascii="Sylfaen" w:hAnsi="Sylfaen" w:cstheme="minorHAnsi"/>
          <w:b/>
          <w:sz w:val="20"/>
          <w:szCs w:val="20"/>
          <w:lang w:val="ka-GE"/>
        </w:rPr>
      </w:pPr>
    </w:p>
    <w:p w14:paraId="70587D96" w14:textId="77777777" w:rsidR="005F4CC5" w:rsidRPr="00FA47C6" w:rsidRDefault="005F4CC5" w:rsidP="00547FBD">
      <w:pPr>
        <w:contextualSpacing/>
        <w:jc w:val="both"/>
        <w:rPr>
          <w:rFonts w:ascii="Sylfaen" w:hAnsi="Sylfaen" w:cstheme="minorHAnsi"/>
          <w:b/>
          <w:sz w:val="20"/>
          <w:szCs w:val="20"/>
          <w:lang w:val="ka-GE"/>
        </w:rPr>
      </w:pPr>
      <w:r w:rsidRPr="00FA47C6">
        <w:rPr>
          <w:rFonts w:ascii="Sylfaen" w:hAnsi="Sylfaen" w:cstheme="minorHAnsi"/>
          <w:b/>
          <w:sz w:val="20"/>
          <w:szCs w:val="20"/>
          <w:lang w:val="ka-GE"/>
        </w:rPr>
        <w:lastRenderedPageBreak/>
        <w:t xml:space="preserve">შესასრულებელი სამუშაო </w:t>
      </w:r>
    </w:p>
    <w:p w14:paraId="0DD6D7B6" w14:textId="77777777" w:rsidR="005F4CC5" w:rsidRPr="00FA47C6" w:rsidRDefault="005F4CC5" w:rsidP="00547FBD">
      <w:pPr>
        <w:contextualSpacing/>
        <w:jc w:val="both"/>
        <w:rPr>
          <w:rFonts w:ascii="Sylfaen" w:hAnsi="Sylfaen" w:cstheme="minorHAnsi"/>
          <w:sz w:val="20"/>
          <w:szCs w:val="20"/>
          <w:lang w:val="ka-GE"/>
        </w:rPr>
      </w:pPr>
      <w:r w:rsidRPr="00FA47C6">
        <w:rPr>
          <w:rFonts w:ascii="Sylfaen" w:hAnsi="Sylfaen" w:cstheme="minorHAnsi"/>
          <w:sz w:val="20"/>
          <w:szCs w:val="20"/>
          <w:lang w:val="ka-GE"/>
        </w:rPr>
        <w:t xml:space="preserve">კონტრაქტორმა უნდა უზრუნველყოს საერთაშორისო კონსულტანტის მონაწილეობით ტექნიკური დახმარების პროცესის დაგეგმვა, ხელმძღვანელობა და კოორდინაცია ქვემოთმოყვანილი აქტივობების განხორციელებისთვის. </w:t>
      </w:r>
    </w:p>
    <w:p w14:paraId="061E0A1B" w14:textId="77777777" w:rsidR="005F4CC5" w:rsidRPr="00FA47C6" w:rsidRDefault="005F4CC5" w:rsidP="005F4CC5">
      <w:pPr>
        <w:pStyle w:val="ListParagraph"/>
        <w:ind w:left="0"/>
        <w:jc w:val="both"/>
        <w:rPr>
          <w:rFonts w:ascii="Sylfaen" w:hAnsi="Sylfaen" w:cstheme="minorHAnsi"/>
          <w:sz w:val="20"/>
          <w:szCs w:val="20"/>
          <w:lang w:val="ka-GE"/>
        </w:rPr>
      </w:pPr>
    </w:p>
    <w:p w14:paraId="49766EFF" w14:textId="77777777" w:rsidR="0095723B" w:rsidRPr="00FA47C6" w:rsidRDefault="005F4CC5" w:rsidP="00967FDE">
      <w:pPr>
        <w:pStyle w:val="ListParagraph"/>
        <w:numPr>
          <w:ilvl w:val="0"/>
          <w:numId w:val="37"/>
        </w:numPr>
        <w:contextualSpacing/>
        <w:jc w:val="both"/>
        <w:rPr>
          <w:rFonts w:ascii="Sylfaen" w:hAnsi="Sylfaen" w:cstheme="minorHAnsi"/>
          <w:sz w:val="20"/>
          <w:szCs w:val="20"/>
          <w:lang w:val="ka-GE"/>
        </w:rPr>
      </w:pPr>
      <w:r w:rsidRPr="00FA47C6">
        <w:rPr>
          <w:rFonts w:ascii="Sylfaen" w:hAnsi="Sylfaen" w:cstheme="minorHAnsi"/>
          <w:sz w:val="20"/>
          <w:szCs w:val="20"/>
          <w:lang w:val="ka-GE"/>
        </w:rPr>
        <w:t>ტუბერკულოზ</w:t>
      </w:r>
      <w:r w:rsidR="0095723B" w:rsidRPr="00FA47C6">
        <w:rPr>
          <w:rFonts w:ascii="Sylfaen" w:hAnsi="Sylfaen" w:cstheme="minorHAnsi"/>
          <w:sz w:val="20"/>
          <w:szCs w:val="20"/>
          <w:lang w:val="ka-GE"/>
        </w:rPr>
        <w:t>ის</w:t>
      </w:r>
      <w:r w:rsidRPr="00FA47C6">
        <w:rPr>
          <w:rFonts w:ascii="Sylfaen" w:hAnsi="Sylfaen" w:cstheme="minorHAnsi"/>
          <w:sz w:val="20"/>
          <w:szCs w:val="20"/>
          <w:lang w:val="ka-GE"/>
        </w:rPr>
        <w:t xml:space="preserve"> </w:t>
      </w:r>
      <w:r w:rsidR="0095723B" w:rsidRPr="00FA47C6">
        <w:rPr>
          <w:rFonts w:ascii="Sylfaen" w:hAnsi="Sylfaen" w:cstheme="minorHAnsi"/>
          <w:sz w:val="20"/>
          <w:szCs w:val="20"/>
          <w:lang w:val="ka-GE"/>
        </w:rPr>
        <w:t>დიაგნოსტიკის და მკურნალობის</w:t>
      </w:r>
      <w:r w:rsidR="00BC29F9" w:rsidRPr="00FA47C6">
        <w:rPr>
          <w:rFonts w:ascii="Sylfaen" w:hAnsi="Sylfaen" w:cstheme="minorHAnsi"/>
          <w:sz w:val="20"/>
          <w:szCs w:val="20"/>
          <w:lang w:val="ka-GE"/>
        </w:rPr>
        <w:t xml:space="preserve"> </w:t>
      </w:r>
      <w:r w:rsidRPr="00FA47C6">
        <w:rPr>
          <w:rFonts w:ascii="Sylfaen" w:hAnsi="Sylfaen" w:cstheme="minorHAnsi"/>
          <w:sz w:val="20"/>
          <w:szCs w:val="20"/>
          <w:lang w:val="ka-GE"/>
        </w:rPr>
        <w:t>გაიდლაინ</w:t>
      </w:r>
      <w:r w:rsidR="0095723B" w:rsidRPr="00FA47C6">
        <w:rPr>
          <w:rFonts w:ascii="Sylfaen" w:hAnsi="Sylfaen" w:cstheme="minorHAnsi"/>
          <w:sz w:val="20"/>
          <w:szCs w:val="20"/>
          <w:lang w:val="ka-GE"/>
        </w:rPr>
        <w:t>ებ</w:t>
      </w:r>
      <w:r w:rsidRPr="00FA47C6">
        <w:rPr>
          <w:rFonts w:ascii="Sylfaen" w:hAnsi="Sylfaen" w:cstheme="minorHAnsi"/>
          <w:sz w:val="20"/>
          <w:szCs w:val="20"/>
          <w:lang w:val="ka-GE"/>
        </w:rPr>
        <w:t xml:space="preserve">ის </w:t>
      </w:r>
      <w:r w:rsidR="0095723B" w:rsidRPr="00FA47C6">
        <w:rPr>
          <w:rFonts w:ascii="Sylfaen" w:hAnsi="Sylfaen" w:cstheme="minorHAnsi"/>
          <w:sz w:val="20"/>
          <w:szCs w:val="20"/>
          <w:lang w:val="ka-GE"/>
        </w:rPr>
        <w:t>განახლება ჯანმოს რეკომენდაციების შესაბამისად</w:t>
      </w:r>
      <w:r w:rsidR="00E237F0" w:rsidRPr="00FA47C6">
        <w:rPr>
          <w:rFonts w:ascii="Sylfaen" w:hAnsi="Sylfaen" w:cstheme="minorHAnsi"/>
          <w:sz w:val="20"/>
          <w:szCs w:val="20"/>
          <w:lang w:val="ka-GE"/>
        </w:rPr>
        <w:t xml:space="preserve">, </w:t>
      </w:r>
      <w:r w:rsidR="005A0E82" w:rsidRPr="00FA47C6">
        <w:rPr>
          <w:rFonts w:ascii="Sylfaen" w:hAnsi="Sylfaen" w:cstheme="minorHAnsi"/>
          <w:sz w:val="20"/>
          <w:szCs w:val="20"/>
          <w:lang w:val="ka-GE"/>
        </w:rPr>
        <w:t>შესაბამისი რეკომენდაციების დანერგვის შეფასების (</w:t>
      </w:r>
      <w:r w:rsidR="00E237F0" w:rsidRPr="00FA47C6">
        <w:rPr>
          <w:rFonts w:ascii="Sylfaen" w:hAnsi="Sylfaen" w:cstheme="minorHAnsi"/>
          <w:sz w:val="20"/>
          <w:szCs w:val="20"/>
          <w:lang w:val="ka-GE"/>
        </w:rPr>
        <w:t>კლინიკური პრაქტიკის</w:t>
      </w:r>
      <w:r w:rsidR="005A0E82" w:rsidRPr="00FA47C6">
        <w:rPr>
          <w:rFonts w:ascii="Sylfaen" w:hAnsi="Sylfaen" w:cstheme="minorHAnsi"/>
          <w:sz w:val="20"/>
          <w:szCs w:val="20"/>
          <w:lang w:val="ka-GE"/>
        </w:rPr>
        <w:t>)</w:t>
      </w:r>
      <w:r w:rsidR="00E237F0" w:rsidRPr="00FA47C6">
        <w:rPr>
          <w:rFonts w:ascii="Sylfaen" w:hAnsi="Sylfaen" w:cstheme="minorHAnsi"/>
          <w:sz w:val="20"/>
          <w:szCs w:val="20"/>
          <w:lang w:val="ka-GE"/>
        </w:rPr>
        <w:t xml:space="preserve"> აუდიტის ინდიკატორების ჩა</w:t>
      </w:r>
      <w:r w:rsidR="005A0E82" w:rsidRPr="00FA47C6">
        <w:rPr>
          <w:rFonts w:ascii="Sylfaen" w:hAnsi="Sylfaen" w:cstheme="minorHAnsi"/>
          <w:sz w:val="20"/>
          <w:szCs w:val="20"/>
          <w:lang w:val="ka-GE"/>
        </w:rPr>
        <w:t>თვლით</w:t>
      </w:r>
    </w:p>
    <w:p w14:paraId="5F8D0786" w14:textId="77777777" w:rsidR="005F4CC5" w:rsidRPr="00FA47C6" w:rsidRDefault="0095723B" w:rsidP="00967FDE">
      <w:pPr>
        <w:pStyle w:val="ListParagraph"/>
        <w:numPr>
          <w:ilvl w:val="0"/>
          <w:numId w:val="37"/>
        </w:numPr>
        <w:contextualSpacing/>
        <w:jc w:val="both"/>
        <w:rPr>
          <w:rFonts w:ascii="Sylfaen" w:hAnsi="Sylfaen" w:cstheme="minorHAnsi"/>
          <w:sz w:val="20"/>
          <w:szCs w:val="20"/>
          <w:lang w:val="ka-GE"/>
        </w:rPr>
      </w:pPr>
      <w:r w:rsidRPr="00FA47C6">
        <w:rPr>
          <w:rFonts w:ascii="Sylfaen" w:hAnsi="Sylfaen" w:cstheme="minorHAnsi"/>
          <w:sz w:val="20"/>
          <w:szCs w:val="20"/>
          <w:lang w:val="ka-GE"/>
        </w:rPr>
        <w:t xml:space="preserve">განახლებული გაიდლაინების </w:t>
      </w:r>
      <w:r w:rsidR="005F4CC5" w:rsidRPr="00FA47C6">
        <w:rPr>
          <w:rFonts w:ascii="Sylfaen" w:hAnsi="Sylfaen" w:cstheme="minorHAnsi"/>
          <w:sz w:val="20"/>
          <w:szCs w:val="20"/>
          <w:lang w:val="ka-GE"/>
        </w:rPr>
        <w:t>დანერგვის გეგმის შედგენა</w:t>
      </w:r>
      <w:r w:rsidR="00B242FF" w:rsidRPr="00FA47C6">
        <w:rPr>
          <w:rFonts w:ascii="Sylfaen" w:hAnsi="Sylfaen" w:cstheme="minorHAnsi"/>
          <w:sz w:val="20"/>
          <w:szCs w:val="20"/>
        </w:rPr>
        <w:t>,</w:t>
      </w:r>
      <w:r w:rsidR="005F4CC5" w:rsidRPr="00FA47C6">
        <w:rPr>
          <w:rFonts w:ascii="Sylfaen" w:hAnsi="Sylfaen" w:cstheme="minorHAnsi"/>
          <w:sz w:val="20"/>
          <w:szCs w:val="20"/>
          <w:lang w:val="ka-GE"/>
        </w:rPr>
        <w:t xml:space="preserve"> მისი </w:t>
      </w:r>
      <w:r w:rsidR="006A6D3E" w:rsidRPr="00FA47C6">
        <w:rPr>
          <w:rFonts w:ascii="Sylfaen" w:hAnsi="Sylfaen" w:cstheme="minorHAnsi"/>
          <w:sz w:val="20"/>
          <w:szCs w:val="20"/>
          <w:lang w:val="ka-GE"/>
        </w:rPr>
        <w:t>იმპლემენტაციის</w:t>
      </w:r>
      <w:r w:rsidR="005F4CC5" w:rsidRPr="00FA47C6">
        <w:rPr>
          <w:rFonts w:ascii="Sylfaen" w:hAnsi="Sylfaen" w:cstheme="minorHAnsi"/>
          <w:sz w:val="20"/>
          <w:szCs w:val="20"/>
          <w:lang w:val="ka-GE"/>
        </w:rPr>
        <w:t xml:space="preserve"> </w:t>
      </w:r>
      <w:r w:rsidR="006A6D3E" w:rsidRPr="00FA47C6">
        <w:rPr>
          <w:rFonts w:ascii="Sylfaen" w:hAnsi="Sylfaen" w:cstheme="minorHAnsi"/>
          <w:sz w:val="20"/>
          <w:szCs w:val="20"/>
          <w:lang w:val="ka-GE"/>
        </w:rPr>
        <w:t xml:space="preserve">მხარდაჭერა და </w:t>
      </w:r>
      <w:r w:rsidR="005F4CC5" w:rsidRPr="00FA47C6">
        <w:rPr>
          <w:rFonts w:ascii="Sylfaen" w:hAnsi="Sylfaen" w:cstheme="minorHAnsi"/>
          <w:sz w:val="20"/>
          <w:szCs w:val="20"/>
          <w:lang w:val="ka-GE"/>
        </w:rPr>
        <w:t>მონიტორინგი</w:t>
      </w:r>
    </w:p>
    <w:p w14:paraId="4066862F" w14:textId="77777777" w:rsidR="0095723B" w:rsidRPr="00FA47C6" w:rsidRDefault="005F4CC5" w:rsidP="00967FDE">
      <w:pPr>
        <w:pStyle w:val="ListParagraph"/>
        <w:numPr>
          <w:ilvl w:val="1"/>
          <w:numId w:val="37"/>
        </w:numPr>
        <w:contextualSpacing/>
        <w:jc w:val="both"/>
        <w:rPr>
          <w:rFonts w:ascii="Sylfaen" w:hAnsi="Sylfaen" w:cstheme="minorHAnsi"/>
          <w:sz w:val="20"/>
          <w:szCs w:val="20"/>
          <w:lang w:val="ka-GE"/>
        </w:rPr>
      </w:pPr>
      <w:r w:rsidRPr="00FA47C6">
        <w:rPr>
          <w:rFonts w:ascii="Sylfaen" w:hAnsi="Sylfaen" w:cstheme="minorHAnsi"/>
          <w:sz w:val="20"/>
          <w:szCs w:val="20"/>
          <w:lang w:val="ka-GE"/>
        </w:rPr>
        <w:t>ტრენინგების და დაინტერესებულ მხარეებთან სამუშაო შეხვედრის ორგანიზება</w:t>
      </w:r>
    </w:p>
    <w:p w14:paraId="38367F22" w14:textId="77777777" w:rsidR="005F4CC5" w:rsidRPr="00FA47C6" w:rsidRDefault="00547FBD" w:rsidP="00967FDE">
      <w:pPr>
        <w:pStyle w:val="ListParagraph"/>
        <w:numPr>
          <w:ilvl w:val="1"/>
          <w:numId w:val="37"/>
        </w:numPr>
        <w:contextualSpacing/>
        <w:jc w:val="both"/>
        <w:rPr>
          <w:rFonts w:ascii="Sylfaen" w:hAnsi="Sylfaen" w:cstheme="minorHAnsi"/>
          <w:sz w:val="20"/>
          <w:szCs w:val="20"/>
          <w:lang w:val="ka-GE"/>
        </w:rPr>
      </w:pPr>
      <w:r w:rsidRPr="00FA47C6">
        <w:rPr>
          <w:rFonts w:ascii="Sylfaen" w:hAnsi="Sylfaen" w:cstheme="minorHAnsi"/>
          <w:sz w:val="20"/>
          <w:szCs w:val="20"/>
          <w:lang w:val="ka-GE"/>
        </w:rPr>
        <w:t>ტრენინგის მასალებისა და სტანდარტული საოპერაციო პროცედურების შემუშავება საჭიროებისამებრ</w:t>
      </w:r>
      <w:r w:rsidR="00BC29F9" w:rsidRPr="00FA47C6">
        <w:rPr>
          <w:rFonts w:ascii="Sylfaen" w:hAnsi="Sylfaen" w:cstheme="minorHAnsi"/>
          <w:sz w:val="20"/>
          <w:szCs w:val="20"/>
          <w:lang w:val="ka-GE"/>
        </w:rPr>
        <w:t>.</w:t>
      </w:r>
    </w:p>
    <w:p w14:paraId="1DB80ED3" w14:textId="77777777" w:rsidR="0095723B" w:rsidRPr="00FA47C6" w:rsidRDefault="0095723B" w:rsidP="00967FDE">
      <w:pPr>
        <w:pStyle w:val="ListParagraph"/>
        <w:numPr>
          <w:ilvl w:val="0"/>
          <w:numId w:val="37"/>
        </w:numPr>
        <w:contextualSpacing/>
        <w:jc w:val="both"/>
        <w:rPr>
          <w:rFonts w:ascii="Sylfaen" w:hAnsi="Sylfaen" w:cstheme="minorHAnsi"/>
          <w:sz w:val="20"/>
          <w:szCs w:val="20"/>
          <w:lang w:val="ka-GE"/>
        </w:rPr>
      </w:pPr>
      <w:r w:rsidRPr="00FA47C6">
        <w:rPr>
          <w:rFonts w:ascii="Sylfaen" w:hAnsi="Sylfaen" w:cstheme="minorHAnsi"/>
          <w:sz w:val="20"/>
          <w:szCs w:val="20"/>
          <w:lang w:val="ka-GE"/>
        </w:rPr>
        <w:t>შერჩეულ დაწესებულებებში სენსიტიური ტუბერკულოზის და ლატენტური ტუბერკულოზური ინფექციის მკურნალობის ინდივიდუალური შემთხვევების განხილვა</w:t>
      </w:r>
    </w:p>
    <w:p w14:paraId="391D7577" w14:textId="77777777" w:rsidR="0021545E" w:rsidRPr="00FA47C6" w:rsidRDefault="00547FBD" w:rsidP="00967FDE">
      <w:pPr>
        <w:pStyle w:val="ListParagraph"/>
        <w:numPr>
          <w:ilvl w:val="0"/>
          <w:numId w:val="37"/>
        </w:numPr>
        <w:contextualSpacing/>
        <w:jc w:val="both"/>
        <w:rPr>
          <w:rFonts w:ascii="Sylfaen" w:hAnsi="Sylfaen" w:cstheme="minorHAnsi"/>
          <w:sz w:val="20"/>
          <w:szCs w:val="20"/>
          <w:lang w:val="ka-GE"/>
        </w:rPr>
      </w:pPr>
      <w:r w:rsidRPr="00FA47C6">
        <w:rPr>
          <w:rFonts w:ascii="Sylfaen" w:hAnsi="Sylfaen" w:cstheme="minorHAnsi"/>
          <w:sz w:val="20"/>
          <w:szCs w:val="20"/>
          <w:lang w:val="ka-GE"/>
        </w:rPr>
        <w:t xml:space="preserve">ტუბერკულოზის და ფილტვის დაავადებათა ეროვნული ცენტრის კონსილიუმში მონაწილეობა და რეზისტენტური ტუბერკულოზის ინდივიდუალური შემთხვევების განხილვა </w:t>
      </w:r>
    </w:p>
    <w:p w14:paraId="3A3034A4" w14:textId="2E9ED940" w:rsidR="004124BE" w:rsidRPr="00FA47C6" w:rsidRDefault="004E10F4" w:rsidP="00967FDE">
      <w:pPr>
        <w:pStyle w:val="ListParagraph"/>
        <w:numPr>
          <w:ilvl w:val="0"/>
          <w:numId w:val="37"/>
        </w:numPr>
        <w:contextualSpacing/>
        <w:jc w:val="both"/>
        <w:rPr>
          <w:rFonts w:ascii="Sylfaen" w:hAnsi="Sylfaen" w:cstheme="minorHAnsi"/>
          <w:sz w:val="20"/>
          <w:szCs w:val="20"/>
          <w:lang w:val="ka-GE"/>
        </w:rPr>
      </w:pPr>
      <w:r w:rsidRPr="00FA47C6">
        <w:rPr>
          <w:rFonts w:ascii="Sylfaen" w:hAnsi="Sylfaen" w:cstheme="minorHAnsi"/>
          <w:sz w:val="20"/>
          <w:szCs w:val="20"/>
          <w:lang w:val="ka-GE"/>
        </w:rPr>
        <w:t xml:space="preserve">რეგულარული/პერიოდული </w:t>
      </w:r>
      <w:r w:rsidR="00547FBD" w:rsidRPr="00FA47C6">
        <w:rPr>
          <w:rFonts w:ascii="Sylfaen" w:hAnsi="Sylfaen" w:cstheme="minorHAnsi"/>
          <w:sz w:val="20"/>
          <w:szCs w:val="20"/>
          <w:lang w:val="ka-GE"/>
        </w:rPr>
        <w:t>სამუშაო შეხვედრ</w:t>
      </w:r>
      <w:r w:rsidRPr="00FA47C6">
        <w:rPr>
          <w:rFonts w:ascii="Sylfaen" w:hAnsi="Sylfaen" w:cstheme="minorHAnsi"/>
          <w:sz w:val="20"/>
          <w:szCs w:val="20"/>
          <w:lang w:val="ka-GE"/>
        </w:rPr>
        <w:t>ების</w:t>
      </w:r>
      <w:r w:rsidR="00547FBD" w:rsidRPr="00FA47C6">
        <w:rPr>
          <w:rFonts w:ascii="Sylfaen" w:hAnsi="Sylfaen" w:cstheme="minorHAnsi"/>
          <w:sz w:val="20"/>
          <w:szCs w:val="20"/>
          <w:lang w:val="ka-GE"/>
        </w:rPr>
        <w:t xml:space="preserve"> ორგანიზება დაინტერესებულ მხარეებთან </w:t>
      </w:r>
      <w:r w:rsidR="005A0E82" w:rsidRPr="00FA47C6">
        <w:rPr>
          <w:rFonts w:ascii="Sylfaen" w:hAnsi="Sylfaen" w:cstheme="minorHAnsi"/>
          <w:sz w:val="20"/>
          <w:szCs w:val="20"/>
          <w:lang w:val="ka-GE"/>
        </w:rPr>
        <w:t xml:space="preserve">გაიდლაინების დანერგვის და კლინიკური პრაქტიკის ინდიკატორების შესრულების </w:t>
      </w:r>
      <w:r w:rsidRPr="00FA47C6">
        <w:rPr>
          <w:rFonts w:ascii="Sylfaen" w:hAnsi="Sylfaen" w:cstheme="minorHAnsi"/>
          <w:sz w:val="20"/>
          <w:szCs w:val="20"/>
          <w:lang w:val="ka-GE"/>
        </w:rPr>
        <w:t xml:space="preserve">პროგრესის </w:t>
      </w:r>
      <w:r w:rsidR="005A0E82" w:rsidRPr="00FA47C6">
        <w:rPr>
          <w:rFonts w:ascii="Sylfaen" w:hAnsi="Sylfaen" w:cstheme="minorHAnsi"/>
          <w:sz w:val="20"/>
          <w:szCs w:val="20"/>
          <w:lang w:val="ka-GE"/>
        </w:rPr>
        <w:t>თაობაზე</w:t>
      </w:r>
      <w:r w:rsidR="00BC29F9" w:rsidRPr="00FA47C6">
        <w:rPr>
          <w:rFonts w:ascii="Sylfaen" w:hAnsi="Sylfaen" w:cstheme="minorHAnsi"/>
          <w:sz w:val="20"/>
          <w:szCs w:val="20"/>
          <w:lang w:val="ka-GE"/>
        </w:rPr>
        <w:t>.</w:t>
      </w:r>
      <w:r w:rsidR="00B922AC" w:rsidRPr="00FA47C6">
        <w:rPr>
          <w:rFonts w:ascii="Sylfaen" w:hAnsi="Sylfaen" w:cstheme="minorHAnsi"/>
          <w:sz w:val="20"/>
          <w:szCs w:val="20"/>
          <w:lang w:val="ka-GE"/>
        </w:rPr>
        <w:t xml:space="preserve"> </w:t>
      </w:r>
    </w:p>
    <w:p w14:paraId="66604C52" w14:textId="77777777" w:rsidR="00AE02B1" w:rsidRPr="00FA47C6" w:rsidRDefault="00AE02B1" w:rsidP="00AE02B1">
      <w:pPr>
        <w:autoSpaceDE w:val="0"/>
        <w:autoSpaceDN w:val="0"/>
        <w:spacing w:line="276" w:lineRule="auto"/>
        <w:rPr>
          <w:rFonts w:ascii="Sylfaen" w:hAnsi="Sylfaen" w:cstheme="minorHAnsi"/>
          <w:sz w:val="20"/>
          <w:szCs w:val="20"/>
        </w:rPr>
      </w:pPr>
    </w:p>
    <w:p w14:paraId="175CD057" w14:textId="77777777" w:rsidR="0095723B" w:rsidRPr="00FA47C6" w:rsidRDefault="0095723B" w:rsidP="0095723B">
      <w:pPr>
        <w:contextualSpacing/>
        <w:jc w:val="both"/>
        <w:rPr>
          <w:rFonts w:ascii="Sylfaen" w:hAnsi="Sylfaen" w:cstheme="minorHAnsi"/>
          <w:b/>
          <w:sz w:val="20"/>
          <w:szCs w:val="20"/>
          <w:lang w:val="ka-GE"/>
        </w:rPr>
      </w:pPr>
      <w:r w:rsidRPr="00FA47C6">
        <w:rPr>
          <w:rFonts w:ascii="Sylfaen" w:hAnsi="Sylfaen" w:cstheme="minorHAnsi"/>
          <w:b/>
          <w:sz w:val="20"/>
          <w:szCs w:val="20"/>
          <w:lang w:val="ka-GE"/>
        </w:rPr>
        <w:t>ამოცანა 2</w:t>
      </w:r>
    </w:p>
    <w:p w14:paraId="5EB15852" w14:textId="77777777" w:rsidR="0095723B" w:rsidRPr="00FA47C6" w:rsidRDefault="0095723B" w:rsidP="0095723B">
      <w:pPr>
        <w:contextualSpacing/>
        <w:jc w:val="both"/>
        <w:rPr>
          <w:rFonts w:ascii="Sylfaen" w:hAnsi="Sylfaen" w:cstheme="minorHAnsi"/>
          <w:sz w:val="20"/>
          <w:szCs w:val="20"/>
          <w:lang w:val="ka-GE"/>
        </w:rPr>
      </w:pPr>
      <w:r w:rsidRPr="00FA47C6">
        <w:rPr>
          <w:rFonts w:ascii="Sylfaen" w:hAnsi="Sylfaen" w:cstheme="minorHAnsi"/>
          <w:sz w:val="20"/>
          <w:szCs w:val="20"/>
          <w:lang w:val="ka-GE"/>
        </w:rPr>
        <w:t xml:space="preserve">ტუბერკულოზისა და ფილტვის დაავადებათა ეროვნულ ცენტრში </w:t>
      </w:r>
      <w:r w:rsidR="000F5394" w:rsidRPr="00FA47C6">
        <w:rPr>
          <w:rFonts w:ascii="Sylfaen" w:hAnsi="Sylfaen" w:cstheme="minorHAnsi"/>
          <w:sz w:val="20"/>
          <w:szCs w:val="20"/>
          <w:lang w:val="ka-GE"/>
        </w:rPr>
        <w:t>„</w:t>
      </w:r>
      <w:r w:rsidRPr="00FA47C6">
        <w:rPr>
          <w:rFonts w:ascii="Sylfaen" w:hAnsi="Sylfaen" w:cstheme="minorHAnsi"/>
          <w:sz w:val="20"/>
          <w:szCs w:val="20"/>
          <w:lang w:val="ka-GE"/>
        </w:rPr>
        <w:t>ხარისხის გაუმჯობესების კოლაბორატივის</w:t>
      </w:r>
      <w:r w:rsidR="000F5394" w:rsidRPr="00FA47C6">
        <w:rPr>
          <w:rFonts w:ascii="Sylfaen" w:hAnsi="Sylfaen" w:cstheme="minorHAnsi"/>
          <w:sz w:val="20"/>
          <w:szCs w:val="20"/>
          <w:lang w:val="ka-GE"/>
        </w:rPr>
        <w:t>“</w:t>
      </w:r>
      <w:r w:rsidRPr="00FA47C6">
        <w:rPr>
          <w:rFonts w:ascii="Sylfaen" w:hAnsi="Sylfaen" w:cstheme="minorHAnsi"/>
          <w:sz w:val="20"/>
          <w:szCs w:val="20"/>
          <w:lang w:val="ka-GE"/>
        </w:rPr>
        <w:t xml:space="preserve"> ჩამოყალიბება</w:t>
      </w:r>
      <w:r w:rsidR="004A5C39" w:rsidRPr="00FA47C6">
        <w:rPr>
          <w:rFonts w:ascii="Sylfaen" w:hAnsi="Sylfaen" w:cstheme="minorHAnsi"/>
          <w:sz w:val="20"/>
          <w:szCs w:val="20"/>
        </w:rPr>
        <w:t xml:space="preserve"> </w:t>
      </w:r>
      <w:r w:rsidR="004A5C39" w:rsidRPr="00FA47C6">
        <w:rPr>
          <w:rFonts w:ascii="Sylfaen" w:hAnsi="Sylfaen" w:cstheme="minorHAnsi"/>
          <w:sz w:val="20"/>
          <w:szCs w:val="20"/>
          <w:lang w:val="ka-GE"/>
        </w:rPr>
        <w:t>და ხარისხის გაუმჯობესების ღონიძიებების დნერგვა</w:t>
      </w:r>
    </w:p>
    <w:p w14:paraId="54961CE7" w14:textId="77777777" w:rsidR="0095723B" w:rsidRPr="00FA47C6" w:rsidRDefault="0095723B" w:rsidP="00547FBD">
      <w:pPr>
        <w:contextualSpacing/>
        <w:jc w:val="both"/>
        <w:rPr>
          <w:rFonts w:ascii="Sylfaen" w:hAnsi="Sylfaen" w:cstheme="minorHAnsi"/>
          <w:b/>
          <w:sz w:val="20"/>
          <w:szCs w:val="20"/>
          <w:lang w:val="ka-GE"/>
        </w:rPr>
      </w:pPr>
    </w:p>
    <w:p w14:paraId="1DDF9EF7" w14:textId="77777777" w:rsidR="0095723B" w:rsidRPr="00FA47C6" w:rsidRDefault="0095723B" w:rsidP="00547FBD">
      <w:pPr>
        <w:contextualSpacing/>
        <w:jc w:val="both"/>
        <w:rPr>
          <w:rFonts w:ascii="Sylfaen" w:hAnsi="Sylfaen" w:cstheme="minorHAnsi"/>
          <w:b/>
          <w:sz w:val="20"/>
          <w:szCs w:val="20"/>
          <w:lang w:val="ka-GE"/>
        </w:rPr>
      </w:pPr>
      <w:r w:rsidRPr="00FA47C6">
        <w:rPr>
          <w:rFonts w:ascii="Sylfaen" w:hAnsi="Sylfaen" w:cstheme="minorHAnsi"/>
          <w:b/>
          <w:sz w:val="20"/>
          <w:szCs w:val="20"/>
          <w:lang w:val="ka-GE"/>
        </w:rPr>
        <w:t>შესასრულებელი სამუშაო</w:t>
      </w:r>
    </w:p>
    <w:p w14:paraId="26E2236D" w14:textId="77777777" w:rsidR="00D46AEF" w:rsidRPr="00FA47C6" w:rsidRDefault="00D46AEF" w:rsidP="00547FBD">
      <w:pPr>
        <w:contextualSpacing/>
        <w:jc w:val="both"/>
        <w:rPr>
          <w:rFonts w:ascii="Sylfaen" w:hAnsi="Sylfaen" w:cstheme="minorHAnsi"/>
          <w:sz w:val="20"/>
          <w:szCs w:val="20"/>
        </w:rPr>
      </w:pPr>
    </w:p>
    <w:p w14:paraId="4C75E131" w14:textId="77777777" w:rsidR="004A5C39" w:rsidRPr="00FA47C6" w:rsidRDefault="004A5C39" w:rsidP="00DE25C7">
      <w:pPr>
        <w:pStyle w:val="ListParagraph"/>
        <w:numPr>
          <w:ilvl w:val="0"/>
          <w:numId w:val="32"/>
        </w:numPr>
        <w:spacing w:after="200" w:line="276" w:lineRule="auto"/>
        <w:contextualSpacing/>
        <w:jc w:val="both"/>
        <w:rPr>
          <w:rFonts w:ascii="Sylfaen" w:hAnsi="Sylfaen" w:cstheme="minorHAnsi"/>
          <w:sz w:val="20"/>
          <w:szCs w:val="20"/>
          <w:lang w:val="ka-GE"/>
        </w:rPr>
      </w:pPr>
      <w:r w:rsidRPr="00FA47C6">
        <w:rPr>
          <w:rFonts w:ascii="Sylfaen" w:hAnsi="Sylfaen" w:cstheme="minorHAnsi"/>
          <w:sz w:val="20"/>
          <w:szCs w:val="20"/>
          <w:lang w:val="ka-GE"/>
        </w:rPr>
        <w:t>ხარისხის გაუმჯობესების დეტალური გეგმის შემუშავაბა, მათ შორის დანერგვის მონიტორიგის ჩარჩოს (</w:t>
      </w:r>
      <w:r w:rsidRPr="00FA47C6">
        <w:rPr>
          <w:rFonts w:ascii="Sylfaen" w:hAnsi="Sylfaen" w:cstheme="minorHAnsi"/>
          <w:sz w:val="20"/>
          <w:szCs w:val="20"/>
        </w:rPr>
        <w:t>logical framework)</w:t>
      </w:r>
    </w:p>
    <w:p w14:paraId="614CF169" w14:textId="77777777" w:rsidR="00DE25C7" w:rsidRPr="00FA47C6" w:rsidRDefault="00DE25C7" w:rsidP="00DE25C7">
      <w:pPr>
        <w:pStyle w:val="ListParagraph"/>
        <w:numPr>
          <w:ilvl w:val="0"/>
          <w:numId w:val="32"/>
        </w:numPr>
        <w:spacing w:after="200" w:line="276" w:lineRule="auto"/>
        <w:contextualSpacing/>
        <w:jc w:val="both"/>
        <w:rPr>
          <w:rFonts w:ascii="Sylfaen" w:hAnsi="Sylfaen" w:cstheme="minorHAnsi"/>
          <w:sz w:val="20"/>
          <w:szCs w:val="20"/>
          <w:lang w:val="ka-GE"/>
        </w:rPr>
      </w:pPr>
      <w:r w:rsidRPr="00FA47C6">
        <w:rPr>
          <w:rFonts w:ascii="Sylfaen" w:hAnsi="Sylfaen" w:cstheme="minorHAnsi"/>
          <w:sz w:val="20"/>
          <w:szCs w:val="20"/>
          <w:lang w:val="ka-GE"/>
        </w:rPr>
        <w:t>გაუმჯობესების გუნდის ჩამოყალიბება პრობლემების გამოსავლენად და მათი აღმოფხვრის ღონისძიებების გატარების მიზნით. გუნდი, ჩვეულებრივ, შედგება 5-6 წევრისაგან, რომლებიც წარმოადგენენ სხვადასხვა სამსახურებს (მაგალითდ ტუბერკულოზის მართვა, კონსულტირება, საექთნო დახმარება, აფთიაქი ან კონტაქტების მოძიება) და გუნდში სხვადასხვა ფუნქცია აქვთ.</w:t>
      </w:r>
    </w:p>
    <w:p w14:paraId="5FD63677" w14:textId="77777777" w:rsidR="003075E8" w:rsidRPr="00FA47C6" w:rsidRDefault="003075E8" w:rsidP="003075E8">
      <w:pPr>
        <w:pStyle w:val="ListParagraph"/>
        <w:numPr>
          <w:ilvl w:val="0"/>
          <w:numId w:val="32"/>
        </w:numPr>
        <w:spacing w:after="200" w:line="276" w:lineRule="auto"/>
        <w:contextualSpacing/>
        <w:jc w:val="both"/>
        <w:rPr>
          <w:rFonts w:ascii="Sylfaen" w:hAnsi="Sylfaen" w:cstheme="minorHAnsi"/>
          <w:sz w:val="20"/>
          <w:szCs w:val="20"/>
          <w:lang w:val="ka-GE"/>
        </w:rPr>
      </w:pPr>
      <w:r w:rsidRPr="00FA47C6">
        <w:rPr>
          <w:rFonts w:ascii="Sylfaen" w:hAnsi="Sylfaen" w:cstheme="minorHAnsi"/>
          <w:sz w:val="20"/>
          <w:szCs w:val="20"/>
          <w:lang w:val="ka-GE"/>
        </w:rPr>
        <w:t>საწყისი „სასწავლო სესიის“ ორგანიზება, რომლის დროსაც დამყოლობის გუნდი და დაინტერესებული მხარეები იკრიბებიან, რათა შეთანხმდნენ ერთობლივი გაუმჯობესების მიზნებზე და სტრუქტურირებულ სამუშაო გეგმაზე.</w:t>
      </w:r>
    </w:p>
    <w:p w14:paraId="37F44D98" w14:textId="77777777" w:rsidR="003075E8" w:rsidRPr="00FA47C6" w:rsidRDefault="003075E8" w:rsidP="003075E8">
      <w:pPr>
        <w:pStyle w:val="ListParagraph"/>
        <w:numPr>
          <w:ilvl w:val="0"/>
          <w:numId w:val="32"/>
        </w:numPr>
        <w:spacing w:after="200" w:line="276" w:lineRule="auto"/>
        <w:contextualSpacing/>
        <w:jc w:val="both"/>
        <w:rPr>
          <w:rFonts w:ascii="Sylfaen" w:hAnsi="Sylfaen" w:cstheme="minorHAnsi"/>
          <w:sz w:val="20"/>
          <w:szCs w:val="20"/>
          <w:lang w:val="ka-GE"/>
        </w:rPr>
      </w:pPr>
      <w:r w:rsidRPr="00FA47C6">
        <w:rPr>
          <w:rFonts w:ascii="Sylfaen" w:hAnsi="Sylfaen" w:cstheme="minorHAnsi"/>
          <w:sz w:val="20"/>
          <w:szCs w:val="20"/>
          <w:lang w:val="ka-GE"/>
        </w:rPr>
        <w:t>ხარისიხის გაუმჯობესების გუნდის წევრთა და დაწესებულების პერსონალის (ექიმები, ექთნები, ფარმაცევტები და ლაბორანტები) კომპეტენციაზე დაფუძნებული კლინიკური და ხარისხის გაუმჯობესების ტრენინგი.</w:t>
      </w:r>
    </w:p>
    <w:p w14:paraId="32519C4F" w14:textId="77777777" w:rsidR="00DE25C7" w:rsidRPr="00FA47C6" w:rsidRDefault="00DE25C7" w:rsidP="00DE25C7">
      <w:pPr>
        <w:pStyle w:val="ListParagraph"/>
        <w:numPr>
          <w:ilvl w:val="0"/>
          <w:numId w:val="32"/>
        </w:numPr>
        <w:spacing w:after="200" w:line="276" w:lineRule="auto"/>
        <w:contextualSpacing/>
        <w:jc w:val="both"/>
        <w:rPr>
          <w:rFonts w:ascii="Sylfaen" w:hAnsi="Sylfaen" w:cstheme="minorHAnsi"/>
          <w:sz w:val="20"/>
          <w:szCs w:val="20"/>
          <w:lang w:val="ka-GE"/>
        </w:rPr>
      </w:pPr>
      <w:r w:rsidRPr="00FA47C6">
        <w:rPr>
          <w:rFonts w:ascii="Sylfaen" w:hAnsi="Sylfaen" w:cstheme="minorHAnsi"/>
          <w:sz w:val="20"/>
          <w:szCs w:val="20"/>
          <w:lang w:val="ka-GE"/>
        </w:rPr>
        <w:t>ტუბერკულოზის მართვის სფეროში შენატანების, პროცესების და გამოსავლის სტანდარტების</w:t>
      </w:r>
      <w:r w:rsidR="00E237F0" w:rsidRPr="00FA47C6">
        <w:rPr>
          <w:rFonts w:ascii="Sylfaen" w:hAnsi="Sylfaen" w:cstheme="minorHAnsi"/>
          <w:sz w:val="20"/>
          <w:szCs w:val="20"/>
          <w:lang w:val="ka-GE"/>
        </w:rPr>
        <w:t xml:space="preserve"> (მათ შორის ხარისხის მონიტორინგის ინდიკატორებისა და შესაბამისი სამიზნეების)</w:t>
      </w:r>
      <w:r w:rsidRPr="00FA47C6">
        <w:rPr>
          <w:rFonts w:ascii="Sylfaen" w:hAnsi="Sylfaen" w:cstheme="minorHAnsi"/>
          <w:sz w:val="20"/>
          <w:szCs w:val="20"/>
          <w:lang w:val="ka-GE"/>
        </w:rPr>
        <w:t xml:space="preserve"> და სათანადო ინტერვენციების შემუშავება/გამოყენება.</w:t>
      </w:r>
    </w:p>
    <w:p w14:paraId="7FE63F3D" w14:textId="77777777" w:rsidR="00DE25C7" w:rsidRPr="00FA47C6" w:rsidRDefault="00DE25C7" w:rsidP="00DE25C7">
      <w:pPr>
        <w:pStyle w:val="ListParagraph"/>
        <w:numPr>
          <w:ilvl w:val="0"/>
          <w:numId w:val="32"/>
        </w:numPr>
        <w:spacing w:after="200" w:line="276" w:lineRule="auto"/>
        <w:contextualSpacing/>
        <w:jc w:val="both"/>
        <w:rPr>
          <w:rFonts w:ascii="Sylfaen" w:hAnsi="Sylfaen" w:cstheme="minorHAnsi"/>
          <w:sz w:val="20"/>
          <w:szCs w:val="20"/>
          <w:lang w:val="ka-GE"/>
        </w:rPr>
      </w:pPr>
      <w:r w:rsidRPr="00FA47C6">
        <w:rPr>
          <w:rFonts w:ascii="Sylfaen" w:hAnsi="Sylfaen" w:cstheme="minorHAnsi"/>
          <w:sz w:val="20"/>
          <w:szCs w:val="20"/>
          <w:lang w:val="ka-GE"/>
        </w:rPr>
        <w:t>მონაცემების გამოყენება სერვისის ხარისხის ხარვეზების გამოსავლენად დადგენილ სტანდარტებთან</w:t>
      </w:r>
      <w:r w:rsidR="00E237F0" w:rsidRPr="00FA47C6">
        <w:rPr>
          <w:rFonts w:ascii="Sylfaen" w:hAnsi="Sylfaen" w:cstheme="minorHAnsi"/>
          <w:sz w:val="20"/>
          <w:szCs w:val="20"/>
          <w:lang w:val="ka-GE"/>
        </w:rPr>
        <w:t xml:space="preserve"> და ინდიკატორებთან</w:t>
      </w:r>
      <w:r w:rsidRPr="00FA47C6">
        <w:rPr>
          <w:rFonts w:ascii="Sylfaen" w:hAnsi="Sylfaen" w:cstheme="minorHAnsi"/>
          <w:sz w:val="20"/>
          <w:szCs w:val="20"/>
          <w:lang w:val="ka-GE"/>
        </w:rPr>
        <w:t xml:space="preserve"> შედარების საფუძველზე და დაძლევის გეგმების შემუშავება.</w:t>
      </w:r>
    </w:p>
    <w:p w14:paraId="3F14FE5F" w14:textId="77777777" w:rsidR="00DE25C7" w:rsidRPr="00FA47C6" w:rsidRDefault="00DE25C7" w:rsidP="00DE25C7">
      <w:pPr>
        <w:pStyle w:val="ListParagraph"/>
        <w:numPr>
          <w:ilvl w:val="0"/>
          <w:numId w:val="32"/>
        </w:numPr>
        <w:spacing w:after="200" w:line="276" w:lineRule="auto"/>
        <w:contextualSpacing/>
        <w:rPr>
          <w:rFonts w:ascii="Sylfaen" w:hAnsi="Sylfaen" w:cstheme="minorHAnsi"/>
          <w:sz w:val="20"/>
          <w:szCs w:val="20"/>
          <w:lang w:val="ka-GE"/>
        </w:rPr>
      </w:pPr>
      <w:r w:rsidRPr="00FA47C6">
        <w:rPr>
          <w:rFonts w:ascii="Sylfaen" w:hAnsi="Sylfaen" w:cstheme="minorHAnsi"/>
          <w:sz w:val="20"/>
          <w:szCs w:val="20"/>
          <w:lang w:val="ka-GE"/>
        </w:rPr>
        <w:lastRenderedPageBreak/>
        <w:t>დანარჩენი პერსონალის ინფორმირება, ტრენინგი და ჩართავა ხარსიხის გაუმჯობესების პროცესში.</w:t>
      </w:r>
    </w:p>
    <w:p w14:paraId="236F5C0E" w14:textId="77777777" w:rsidR="00DE25C7" w:rsidRPr="00FA47C6" w:rsidRDefault="00DE25C7" w:rsidP="00DE25C7">
      <w:pPr>
        <w:pStyle w:val="ListParagraph"/>
        <w:numPr>
          <w:ilvl w:val="0"/>
          <w:numId w:val="32"/>
        </w:numPr>
        <w:spacing w:after="200" w:line="276" w:lineRule="auto"/>
        <w:contextualSpacing/>
        <w:jc w:val="both"/>
        <w:rPr>
          <w:rFonts w:ascii="Sylfaen" w:hAnsi="Sylfaen" w:cstheme="minorHAnsi"/>
          <w:sz w:val="20"/>
          <w:szCs w:val="20"/>
          <w:lang w:val="ka-GE"/>
        </w:rPr>
      </w:pPr>
      <w:r w:rsidRPr="00FA47C6">
        <w:rPr>
          <w:rFonts w:ascii="Sylfaen" w:hAnsi="Sylfaen" w:cstheme="minorHAnsi"/>
          <w:sz w:val="20"/>
          <w:szCs w:val="20"/>
          <w:lang w:val="ka-GE"/>
        </w:rPr>
        <w:t>ზოგადად ფუნქციონირების და კორექციისათვის გატარებული ქმედებების მონიტორინგი და დოკუმენტირება იმის დასადგენად, თუ რამდენად მიღწეულია მოსალოდნელი შედეგი</w:t>
      </w:r>
    </w:p>
    <w:p w14:paraId="022B3AE3" w14:textId="77777777" w:rsidR="00DE25C7" w:rsidRPr="00FA47C6" w:rsidRDefault="00DE25C7" w:rsidP="00DE25C7">
      <w:pPr>
        <w:pStyle w:val="ListParagraph"/>
        <w:numPr>
          <w:ilvl w:val="0"/>
          <w:numId w:val="32"/>
        </w:numPr>
        <w:spacing w:after="200" w:line="276" w:lineRule="auto"/>
        <w:contextualSpacing/>
        <w:jc w:val="both"/>
        <w:rPr>
          <w:rFonts w:ascii="Sylfaen" w:hAnsi="Sylfaen" w:cstheme="minorHAnsi"/>
          <w:sz w:val="20"/>
          <w:szCs w:val="20"/>
          <w:lang w:val="ka-GE"/>
        </w:rPr>
      </w:pPr>
      <w:r w:rsidRPr="00FA47C6">
        <w:rPr>
          <w:rFonts w:ascii="Sylfaen" w:hAnsi="Sylfaen" w:cstheme="minorHAnsi"/>
          <w:sz w:val="20"/>
          <w:szCs w:val="20"/>
          <w:lang w:val="ka-GE"/>
        </w:rPr>
        <w:t xml:space="preserve">ხარისხის გაუმჯობესების ღონისძიებების დოკუმენტირება შიდა და გარე აუდიტორიისათვის. </w:t>
      </w:r>
    </w:p>
    <w:p w14:paraId="4F7ED9FA" w14:textId="77777777" w:rsidR="003075E8" w:rsidRDefault="003075E8" w:rsidP="003075E8">
      <w:pPr>
        <w:pStyle w:val="ListParagraph"/>
        <w:spacing w:after="200" w:line="276" w:lineRule="auto"/>
        <w:contextualSpacing/>
        <w:jc w:val="both"/>
        <w:rPr>
          <w:rFonts w:ascii="Sylfaen" w:hAnsi="Sylfaen" w:cstheme="minorHAnsi"/>
          <w:sz w:val="20"/>
          <w:szCs w:val="20"/>
          <w:lang w:val="ka-GE"/>
        </w:rPr>
      </w:pPr>
    </w:p>
    <w:p w14:paraId="744BF8FE" w14:textId="581FF95D" w:rsidR="00547FBD" w:rsidRPr="00FA47C6" w:rsidRDefault="00A52A4C" w:rsidP="00547FBD">
      <w:pPr>
        <w:contextualSpacing/>
        <w:jc w:val="both"/>
        <w:rPr>
          <w:rFonts w:ascii="Sylfaen" w:hAnsi="Sylfaen" w:cstheme="minorHAnsi"/>
          <w:b/>
          <w:sz w:val="20"/>
          <w:szCs w:val="20"/>
          <w:lang w:val="ka-GE"/>
        </w:rPr>
      </w:pPr>
      <w:r w:rsidRPr="00FA47C6">
        <w:rPr>
          <w:rFonts w:ascii="Sylfaen" w:hAnsi="Sylfaen" w:cstheme="minorHAnsi"/>
          <w:b/>
          <w:sz w:val="20"/>
          <w:szCs w:val="20"/>
          <w:lang w:val="ka-GE"/>
        </w:rPr>
        <w:t>პრ</w:t>
      </w:r>
      <w:r w:rsidR="00547FBD" w:rsidRPr="00FA47C6">
        <w:rPr>
          <w:rFonts w:ascii="Sylfaen" w:hAnsi="Sylfaen" w:cstheme="minorHAnsi"/>
          <w:b/>
          <w:sz w:val="20"/>
          <w:szCs w:val="20"/>
          <w:lang w:val="ka-GE"/>
        </w:rPr>
        <w:t xml:space="preserve">ექტით გათვალისწინებული აქტივობების შესრულების საორიენტაციო ვადები და ღირებულება       </w:t>
      </w:r>
      <w:r w:rsidR="006E2389" w:rsidRPr="00FA47C6">
        <w:rPr>
          <w:rFonts w:ascii="Sylfaen" w:hAnsi="Sylfaen" w:cstheme="minorHAnsi"/>
          <w:b/>
          <w:sz w:val="20"/>
          <w:szCs w:val="20"/>
          <w:lang w:val="ka-GE"/>
        </w:rPr>
        <w:t>დანართი №1</w:t>
      </w:r>
    </w:p>
    <w:tbl>
      <w:tblPr>
        <w:tblW w:w="1080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140"/>
        <w:gridCol w:w="1620"/>
        <w:gridCol w:w="1620"/>
        <w:gridCol w:w="2610"/>
      </w:tblGrid>
      <w:tr w:rsidR="006E2389" w:rsidRPr="00FA47C6" w14:paraId="6C1F2843" w14:textId="77777777" w:rsidTr="006E2389">
        <w:trPr>
          <w:trHeight w:val="315"/>
        </w:trPr>
        <w:tc>
          <w:tcPr>
            <w:tcW w:w="810" w:type="dxa"/>
            <w:shd w:val="clear" w:color="auto" w:fill="auto"/>
            <w:hideMark/>
          </w:tcPr>
          <w:p w14:paraId="7ED80158" w14:textId="2E9D6B8F" w:rsidR="006E2389" w:rsidRPr="00FA47C6" w:rsidRDefault="00FA47C6" w:rsidP="002D1E98">
            <w:pPr>
              <w:jc w:val="center"/>
              <w:rPr>
                <w:rFonts w:ascii="Sylfaen" w:eastAsia="Times New Roman" w:hAnsi="Sylfaen" w:cstheme="minorHAnsi"/>
                <w:b/>
                <w:bCs/>
                <w:color w:val="000000"/>
                <w:sz w:val="20"/>
                <w:szCs w:val="20"/>
                <w:lang w:val="ka-GE"/>
              </w:rPr>
            </w:pPr>
            <w:r w:rsidRPr="00FA47C6">
              <w:rPr>
                <w:rFonts w:ascii="Sylfaen" w:eastAsia="Times New Roman" w:hAnsi="Sylfaen" w:cstheme="minorHAnsi"/>
                <w:b/>
                <w:bCs/>
                <w:color w:val="000000"/>
                <w:sz w:val="20"/>
                <w:szCs w:val="20"/>
                <w:lang w:val="ka-GE"/>
              </w:rPr>
              <w:t>№</w:t>
            </w:r>
          </w:p>
        </w:tc>
        <w:tc>
          <w:tcPr>
            <w:tcW w:w="4140" w:type="dxa"/>
            <w:shd w:val="clear" w:color="auto" w:fill="auto"/>
            <w:vAlign w:val="center"/>
            <w:hideMark/>
          </w:tcPr>
          <w:p w14:paraId="3FB8781E" w14:textId="77777777" w:rsidR="006E2389" w:rsidRPr="00FA47C6" w:rsidRDefault="006E2389" w:rsidP="002D1E98">
            <w:pPr>
              <w:jc w:val="center"/>
              <w:rPr>
                <w:rFonts w:ascii="Sylfaen" w:eastAsia="Times New Roman" w:hAnsi="Sylfaen" w:cstheme="minorHAnsi"/>
                <w:b/>
                <w:bCs/>
                <w:color w:val="000000"/>
                <w:sz w:val="20"/>
                <w:szCs w:val="20"/>
                <w:lang w:val="ka-GE"/>
              </w:rPr>
            </w:pPr>
            <w:r w:rsidRPr="00FA47C6">
              <w:rPr>
                <w:rFonts w:ascii="Sylfaen" w:eastAsia="Times New Roman" w:hAnsi="Sylfaen" w:cstheme="minorHAnsi"/>
                <w:b/>
                <w:bCs/>
                <w:color w:val="000000"/>
                <w:sz w:val="20"/>
                <w:szCs w:val="20"/>
                <w:lang w:val="ka-GE"/>
              </w:rPr>
              <w:t>აქტივობა</w:t>
            </w:r>
          </w:p>
        </w:tc>
        <w:tc>
          <w:tcPr>
            <w:tcW w:w="1620" w:type="dxa"/>
            <w:shd w:val="clear" w:color="auto" w:fill="auto"/>
            <w:vAlign w:val="center"/>
            <w:hideMark/>
          </w:tcPr>
          <w:p w14:paraId="22E4E726" w14:textId="1A354C0E" w:rsidR="006E2389" w:rsidRPr="00FA47C6" w:rsidRDefault="006E2389" w:rsidP="004A6F77">
            <w:pPr>
              <w:jc w:val="center"/>
              <w:rPr>
                <w:rFonts w:ascii="Sylfaen" w:eastAsia="Times New Roman" w:hAnsi="Sylfaen" w:cstheme="minorHAnsi"/>
                <w:b/>
                <w:bCs/>
                <w:color w:val="000000"/>
                <w:sz w:val="20"/>
                <w:szCs w:val="20"/>
                <w:lang w:val="ka-GE"/>
              </w:rPr>
            </w:pPr>
            <w:r w:rsidRPr="00FA47C6">
              <w:rPr>
                <w:rFonts w:ascii="Sylfaen" w:eastAsia="Times New Roman" w:hAnsi="Sylfaen" w:cstheme="minorHAnsi"/>
                <w:b/>
                <w:bCs/>
                <w:color w:val="000000"/>
                <w:sz w:val="20"/>
                <w:szCs w:val="20"/>
                <w:lang w:val="ka-GE"/>
              </w:rPr>
              <w:t>ღირებულება</w:t>
            </w:r>
          </w:p>
        </w:tc>
        <w:tc>
          <w:tcPr>
            <w:tcW w:w="1620" w:type="dxa"/>
          </w:tcPr>
          <w:p w14:paraId="38B2633B" w14:textId="77777777" w:rsidR="006E2389" w:rsidRPr="00FA47C6" w:rsidRDefault="006E2389" w:rsidP="002D1E98">
            <w:pPr>
              <w:jc w:val="center"/>
              <w:rPr>
                <w:rFonts w:ascii="Sylfaen" w:eastAsia="Times New Roman" w:hAnsi="Sylfaen" w:cstheme="minorHAnsi"/>
                <w:b/>
                <w:bCs/>
                <w:color w:val="000000"/>
                <w:sz w:val="20"/>
                <w:szCs w:val="20"/>
                <w:lang w:val="ka-GE"/>
              </w:rPr>
            </w:pPr>
          </w:p>
          <w:p w14:paraId="193FD034" w14:textId="3F486CE3" w:rsidR="006E2389" w:rsidRPr="00FA47C6" w:rsidRDefault="006E2389" w:rsidP="002D1E98">
            <w:pPr>
              <w:jc w:val="center"/>
              <w:rPr>
                <w:rFonts w:ascii="Sylfaen" w:eastAsia="Times New Roman" w:hAnsi="Sylfaen" w:cstheme="minorHAnsi"/>
                <w:b/>
                <w:bCs/>
                <w:color w:val="000000"/>
                <w:sz w:val="20"/>
                <w:szCs w:val="20"/>
                <w:lang w:val="ka-GE"/>
              </w:rPr>
            </w:pPr>
            <w:r w:rsidRPr="00FA47C6">
              <w:rPr>
                <w:rFonts w:ascii="Sylfaen" w:eastAsia="Times New Roman" w:hAnsi="Sylfaen" w:cstheme="minorHAnsi"/>
                <w:b/>
                <w:bCs/>
                <w:color w:val="000000"/>
                <w:sz w:val="20"/>
                <w:szCs w:val="20"/>
                <w:lang w:val="ka-GE"/>
              </w:rPr>
              <w:t>განხორციელების ვადა</w:t>
            </w:r>
          </w:p>
        </w:tc>
        <w:tc>
          <w:tcPr>
            <w:tcW w:w="2610" w:type="dxa"/>
            <w:shd w:val="clear" w:color="auto" w:fill="auto"/>
            <w:vAlign w:val="center"/>
            <w:hideMark/>
          </w:tcPr>
          <w:p w14:paraId="428464E3" w14:textId="107CA7D8" w:rsidR="006E2389" w:rsidRPr="00FA47C6" w:rsidRDefault="006E2389" w:rsidP="002D1E98">
            <w:pPr>
              <w:jc w:val="center"/>
              <w:rPr>
                <w:rFonts w:ascii="Sylfaen" w:eastAsia="Times New Roman" w:hAnsi="Sylfaen" w:cstheme="minorHAnsi"/>
                <w:b/>
                <w:bCs/>
                <w:color w:val="000000"/>
                <w:sz w:val="20"/>
                <w:szCs w:val="20"/>
                <w:lang w:val="ka-GE"/>
              </w:rPr>
            </w:pPr>
            <w:r w:rsidRPr="00FA47C6">
              <w:rPr>
                <w:rFonts w:ascii="Sylfaen" w:eastAsia="Times New Roman" w:hAnsi="Sylfaen" w:cstheme="minorHAnsi"/>
                <w:b/>
                <w:bCs/>
                <w:color w:val="000000"/>
                <w:sz w:val="20"/>
                <w:szCs w:val="20"/>
                <w:lang w:val="ka-GE"/>
              </w:rPr>
              <w:t>წარსადგენი დოკუმენტები</w:t>
            </w:r>
          </w:p>
        </w:tc>
      </w:tr>
      <w:tr w:rsidR="006E2389" w:rsidRPr="00FA47C6" w14:paraId="6180F497" w14:textId="77777777" w:rsidTr="006E2389">
        <w:trPr>
          <w:trHeight w:val="1322"/>
        </w:trPr>
        <w:tc>
          <w:tcPr>
            <w:tcW w:w="810" w:type="dxa"/>
            <w:vMerge w:val="restart"/>
            <w:shd w:val="clear" w:color="auto" w:fill="auto"/>
            <w:vAlign w:val="center"/>
            <w:hideMark/>
          </w:tcPr>
          <w:p w14:paraId="02587D57" w14:textId="45C75D85" w:rsidR="006E2389" w:rsidRPr="00FA47C6" w:rsidRDefault="00FA47C6" w:rsidP="0060203F">
            <w:pPr>
              <w:jc w:val="center"/>
              <w:rPr>
                <w:rFonts w:ascii="Sylfaen" w:eastAsia="Times New Roman" w:hAnsi="Sylfaen" w:cstheme="minorHAnsi"/>
                <w:b/>
                <w:bCs/>
                <w:color w:val="000000"/>
                <w:sz w:val="20"/>
                <w:szCs w:val="20"/>
                <w:lang w:val="ka-GE"/>
              </w:rPr>
            </w:pPr>
            <w:r w:rsidRPr="00FA47C6">
              <w:rPr>
                <w:rFonts w:ascii="Sylfaen" w:eastAsia="Times New Roman" w:hAnsi="Sylfaen" w:cstheme="minorHAnsi"/>
                <w:b/>
                <w:bCs/>
                <w:color w:val="000000"/>
                <w:sz w:val="20"/>
                <w:szCs w:val="20"/>
                <w:lang w:val="ka-GE"/>
              </w:rPr>
              <w:t>ფაზა</w:t>
            </w:r>
            <w:r w:rsidR="006E2389" w:rsidRPr="00FA47C6">
              <w:rPr>
                <w:rFonts w:ascii="Sylfaen" w:eastAsia="Times New Roman" w:hAnsi="Sylfaen" w:cstheme="minorHAnsi"/>
                <w:b/>
                <w:bCs/>
                <w:color w:val="000000"/>
                <w:sz w:val="20"/>
                <w:szCs w:val="20"/>
                <w:lang w:val="ka-GE"/>
              </w:rPr>
              <w:t>1</w:t>
            </w:r>
          </w:p>
        </w:tc>
        <w:tc>
          <w:tcPr>
            <w:tcW w:w="4140" w:type="dxa"/>
            <w:shd w:val="clear" w:color="auto" w:fill="auto"/>
            <w:hideMark/>
          </w:tcPr>
          <w:p w14:paraId="17CD34C5" w14:textId="77777777" w:rsidR="006E2389" w:rsidRPr="00FA47C6" w:rsidRDefault="006E2389" w:rsidP="000D3C7F">
            <w:pPr>
              <w:rPr>
                <w:rFonts w:ascii="Sylfaen" w:eastAsia="Times New Roman" w:hAnsi="Sylfaen" w:cstheme="minorHAnsi"/>
                <w:color w:val="000000"/>
                <w:sz w:val="20"/>
                <w:szCs w:val="20"/>
                <w:lang w:val="ka-GE"/>
              </w:rPr>
            </w:pPr>
            <w:r w:rsidRPr="00FA47C6">
              <w:rPr>
                <w:rFonts w:ascii="Sylfaen" w:eastAsia="Times New Roman" w:hAnsi="Sylfaen" w:cstheme="minorHAnsi"/>
                <w:color w:val="000000"/>
                <w:sz w:val="20"/>
                <w:szCs w:val="20"/>
                <w:lang w:val="ka-GE"/>
              </w:rPr>
              <w:t>ამოცანა 1</w:t>
            </w:r>
          </w:p>
          <w:p w14:paraId="366E2BF5" w14:textId="77777777" w:rsidR="006E2389" w:rsidRPr="00FA47C6" w:rsidRDefault="006E2389" w:rsidP="000D3C7F">
            <w:pPr>
              <w:rPr>
                <w:rFonts w:ascii="Sylfaen" w:eastAsia="Times New Roman" w:hAnsi="Sylfaen" w:cstheme="minorHAnsi"/>
                <w:color w:val="000000"/>
                <w:sz w:val="20"/>
                <w:szCs w:val="20"/>
                <w:lang w:val="ka-GE"/>
              </w:rPr>
            </w:pPr>
            <w:r w:rsidRPr="00FA47C6">
              <w:rPr>
                <w:rFonts w:ascii="Sylfaen" w:eastAsia="Times New Roman" w:hAnsi="Sylfaen" w:cstheme="minorHAnsi"/>
                <w:color w:val="000000"/>
                <w:sz w:val="20"/>
                <w:szCs w:val="20"/>
                <w:lang w:val="ka-GE"/>
              </w:rPr>
              <w:t>1.1 ტუბერკულოზის დიაგნოსტიკის და მკურნალობის გაიდლაინების განახლება ჯანმოს რეკომენდაციების შესაბამისად, აუდიტის ინდიკატორების ჩათვლით</w:t>
            </w:r>
          </w:p>
          <w:p w14:paraId="3B991DF0" w14:textId="77777777" w:rsidR="006E2389" w:rsidRPr="00FA47C6" w:rsidRDefault="006E2389" w:rsidP="007367DD">
            <w:pPr>
              <w:rPr>
                <w:rFonts w:ascii="Sylfaen" w:eastAsia="Times New Roman" w:hAnsi="Sylfaen" w:cstheme="minorHAnsi"/>
                <w:color w:val="000000"/>
                <w:sz w:val="20"/>
                <w:szCs w:val="20"/>
              </w:rPr>
            </w:pPr>
          </w:p>
        </w:tc>
        <w:tc>
          <w:tcPr>
            <w:tcW w:w="1620" w:type="dxa"/>
            <w:shd w:val="clear" w:color="auto" w:fill="auto"/>
            <w:hideMark/>
          </w:tcPr>
          <w:p w14:paraId="7C1E420C" w14:textId="77777777" w:rsidR="006E2389" w:rsidRPr="00FA47C6" w:rsidRDefault="006E2389" w:rsidP="006A6D3E">
            <w:pPr>
              <w:rPr>
                <w:rFonts w:ascii="Sylfaen" w:eastAsia="Times New Roman" w:hAnsi="Sylfaen" w:cstheme="minorHAnsi"/>
                <w:color w:val="000000"/>
                <w:sz w:val="20"/>
                <w:szCs w:val="20"/>
                <w:lang w:val="ka-GE"/>
              </w:rPr>
            </w:pPr>
            <w:r w:rsidRPr="00FA47C6">
              <w:rPr>
                <w:rFonts w:ascii="Sylfaen" w:eastAsia="Times New Roman" w:hAnsi="Sylfaen" w:cstheme="minorHAnsi"/>
                <w:color w:val="000000"/>
                <w:sz w:val="20"/>
                <w:szCs w:val="20"/>
                <w:lang w:val="ka-GE"/>
              </w:rPr>
              <w:br/>
            </w:r>
          </w:p>
        </w:tc>
        <w:tc>
          <w:tcPr>
            <w:tcW w:w="1620" w:type="dxa"/>
          </w:tcPr>
          <w:p w14:paraId="1E9CDEC9" w14:textId="77777777" w:rsidR="006E2389" w:rsidRPr="00FA47C6" w:rsidRDefault="006E2389" w:rsidP="006E2389">
            <w:pPr>
              <w:rPr>
                <w:rFonts w:ascii="Sylfaen" w:eastAsia="Times New Roman" w:hAnsi="Sylfaen" w:cstheme="minorHAnsi"/>
                <w:color w:val="000000"/>
                <w:sz w:val="20"/>
                <w:szCs w:val="20"/>
                <w:lang w:val="ka-GE"/>
              </w:rPr>
            </w:pPr>
          </w:p>
        </w:tc>
        <w:tc>
          <w:tcPr>
            <w:tcW w:w="2610" w:type="dxa"/>
            <w:shd w:val="clear" w:color="auto" w:fill="auto"/>
            <w:hideMark/>
          </w:tcPr>
          <w:p w14:paraId="2FD8B99A" w14:textId="40232059" w:rsidR="006E2389" w:rsidRPr="00FA47C6" w:rsidRDefault="006E2389" w:rsidP="006E2389">
            <w:pPr>
              <w:ind w:left="360"/>
              <w:rPr>
                <w:rFonts w:ascii="Sylfaen" w:eastAsia="Times New Roman" w:hAnsi="Sylfaen" w:cstheme="minorHAnsi"/>
                <w:color w:val="000000"/>
                <w:sz w:val="20"/>
                <w:szCs w:val="20"/>
              </w:rPr>
            </w:pPr>
            <w:r w:rsidRPr="00FA47C6">
              <w:rPr>
                <w:rFonts w:ascii="Sylfaen" w:eastAsia="Times New Roman" w:hAnsi="Sylfaen" w:cstheme="minorHAnsi"/>
                <w:color w:val="000000"/>
                <w:sz w:val="20"/>
                <w:szCs w:val="20"/>
                <w:lang w:val="ka-GE"/>
              </w:rPr>
              <w:t>ტუბერკულოზის მართვის განახლებული გაიდლაინი</w:t>
            </w:r>
          </w:p>
          <w:p w14:paraId="28550A82" w14:textId="77777777" w:rsidR="006E2389" w:rsidRPr="00FA47C6" w:rsidRDefault="006E2389" w:rsidP="00D47594">
            <w:pPr>
              <w:ind w:left="360"/>
              <w:rPr>
                <w:rFonts w:ascii="Sylfaen" w:eastAsia="Times New Roman" w:hAnsi="Sylfaen" w:cstheme="minorHAnsi"/>
                <w:color w:val="000000"/>
                <w:sz w:val="20"/>
                <w:szCs w:val="20"/>
              </w:rPr>
            </w:pPr>
          </w:p>
        </w:tc>
      </w:tr>
      <w:tr w:rsidR="006E2389" w:rsidRPr="00FA47C6" w14:paraId="04513F47" w14:textId="77777777" w:rsidTr="006E2389">
        <w:trPr>
          <w:trHeight w:val="937"/>
        </w:trPr>
        <w:tc>
          <w:tcPr>
            <w:tcW w:w="810" w:type="dxa"/>
            <w:vMerge/>
            <w:shd w:val="clear" w:color="auto" w:fill="auto"/>
            <w:vAlign w:val="center"/>
          </w:tcPr>
          <w:p w14:paraId="2B343D1E" w14:textId="77777777" w:rsidR="006E2389" w:rsidRPr="00FA47C6" w:rsidRDefault="006E2389" w:rsidP="00D47594">
            <w:pPr>
              <w:rPr>
                <w:rFonts w:ascii="Sylfaen" w:eastAsia="Times New Roman" w:hAnsi="Sylfaen" w:cstheme="minorHAnsi"/>
                <w:b/>
                <w:bCs/>
                <w:color w:val="000000"/>
                <w:sz w:val="20"/>
                <w:szCs w:val="20"/>
              </w:rPr>
            </w:pPr>
          </w:p>
        </w:tc>
        <w:tc>
          <w:tcPr>
            <w:tcW w:w="4140" w:type="dxa"/>
            <w:shd w:val="clear" w:color="auto" w:fill="auto"/>
          </w:tcPr>
          <w:p w14:paraId="0E196FD5" w14:textId="77777777" w:rsidR="006E2389" w:rsidRPr="00FA47C6" w:rsidRDefault="006E2389" w:rsidP="000D3C7F">
            <w:pPr>
              <w:rPr>
                <w:rFonts w:ascii="Sylfaen" w:eastAsia="Times New Roman" w:hAnsi="Sylfaen" w:cstheme="minorHAnsi"/>
                <w:color w:val="000000"/>
                <w:sz w:val="20"/>
                <w:szCs w:val="20"/>
                <w:lang w:val="ka-GE"/>
              </w:rPr>
            </w:pPr>
            <w:r w:rsidRPr="00FA47C6">
              <w:rPr>
                <w:rFonts w:ascii="Sylfaen" w:eastAsia="Times New Roman" w:hAnsi="Sylfaen" w:cstheme="minorHAnsi"/>
                <w:color w:val="000000"/>
                <w:sz w:val="20"/>
                <w:szCs w:val="20"/>
                <w:lang w:val="ka-GE"/>
              </w:rPr>
              <w:t xml:space="preserve">1.2 ტრენინგის პაკეტის შემუშავება განახლებული გაიდლაინის შესაბამისად </w:t>
            </w:r>
            <w:r w:rsidRPr="00FA47C6">
              <w:rPr>
                <w:rFonts w:ascii="Sylfaen" w:eastAsia="Times New Roman" w:hAnsi="Sylfaen" w:cstheme="minorHAnsi"/>
                <w:color w:val="000000"/>
                <w:sz w:val="20"/>
                <w:szCs w:val="20"/>
              </w:rPr>
              <w:t xml:space="preserve"> </w:t>
            </w:r>
            <w:r w:rsidRPr="00FA47C6">
              <w:rPr>
                <w:rFonts w:ascii="Sylfaen" w:eastAsia="Times New Roman" w:hAnsi="Sylfaen" w:cstheme="minorHAnsi"/>
                <w:color w:val="000000"/>
                <w:sz w:val="20"/>
                <w:szCs w:val="20"/>
                <w:lang w:val="ka-GE"/>
              </w:rPr>
              <w:t>და ტრენინგის ჩატარება</w:t>
            </w:r>
          </w:p>
        </w:tc>
        <w:tc>
          <w:tcPr>
            <w:tcW w:w="1620" w:type="dxa"/>
            <w:shd w:val="clear" w:color="auto" w:fill="auto"/>
          </w:tcPr>
          <w:p w14:paraId="00E4003F" w14:textId="77777777" w:rsidR="006E2389" w:rsidRPr="00FA47C6" w:rsidRDefault="006E2389" w:rsidP="006A6D3E">
            <w:pPr>
              <w:rPr>
                <w:rFonts w:ascii="Sylfaen" w:eastAsia="Times New Roman" w:hAnsi="Sylfaen" w:cstheme="minorHAnsi"/>
                <w:color w:val="000000"/>
                <w:sz w:val="20"/>
                <w:szCs w:val="20"/>
                <w:lang w:val="ka-GE"/>
              </w:rPr>
            </w:pPr>
          </w:p>
        </w:tc>
        <w:tc>
          <w:tcPr>
            <w:tcW w:w="1620" w:type="dxa"/>
          </w:tcPr>
          <w:p w14:paraId="511B2419" w14:textId="77777777" w:rsidR="006E2389" w:rsidRPr="00FA47C6" w:rsidRDefault="006E2389" w:rsidP="006E2389">
            <w:pPr>
              <w:rPr>
                <w:rFonts w:ascii="Sylfaen" w:eastAsia="Times New Roman" w:hAnsi="Sylfaen" w:cstheme="minorHAnsi"/>
                <w:color w:val="000000"/>
                <w:sz w:val="20"/>
                <w:szCs w:val="20"/>
                <w:lang w:val="ka-GE"/>
              </w:rPr>
            </w:pPr>
          </w:p>
        </w:tc>
        <w:tc>
          <w:tcPr>
            <w:tcW w:w="2610" w:type="dxa"/>
            <w:shd w:val="clear" w:color="auto" w:fill="auto"/>
          </w:tcPr>
          <w:p w14:paraId="45EA1766" w14:textId="031B8071" w:rsidR="006E2389" w:rsidRPr="00FA47C6" w:rsidRDefault="006E2389" w:rsidP="006E2389">
            <w:pPr>
              <w:ind w:left="360"/>
              <w:rPr>
                <w:rFonts w:ascii="Sylfaen" w:eastAsia="Times New Roman" w:hAnsi="Sylfaen" w:cstheme="minorHAnsi"/>
                <w:color w:val="000000"/>
                <w:sz w:val="20"/>
                <w:szCs w:val="20"/>
              </w:rPr>
            </w:pPr>
            <w:r w:rsidRPr="00FA47C6">
              <w:rPr>
                <w:rFonts w:ascii="Sylfaen" w:eastAsia="Times New Roman" w:hAnsi="Sylfaen" w:cstheme="minorHAnsi"/>
                <w:color w:val="000000"/>
                <w:sz w:val="20"/>
                <w:szCs w:val="20"/>
                <w:lang w:val="ka-GE"/>
              </w:rPr>
              <w:t xml:space="preserve">ტრენინგის მასალები, დამსწრეთა სია </w:t>
            </w:r>
          </w:p>
          <w:p w14:paraId="40908BD5" w14:textId="77777777" w:rsidR="006E2389" w:rsidRPr="00FA47C6" w:rsidRDefault="006E2389" w:rsidP="00D47594">
            <w:pPr>
              <w:ind w:left="360"/>
              <w:rPr>
                <w:rFonts w:ascii="Sylfaen" w:eastAsia="Times New Roman" w:hAnsi="Sylfaen" w:cstheme="minorHAnsi"/>
                <w:color w:val="000000"/>
                <w:sz w:val="20"/>
                <w:szCs w:val="20"/>
                <w:lang w:val="ka-GE"/>
              </w:rPr>
            </w:pPr>
          </w:p>
        </w:tc>
      </w:tr>
      <w:tr w:rsidR="006E2389" w:rsidRPr="00FA47C6" w14:paraId="74EEA784" w14:textId="77777777" w:rsidTr="006E2389">
        <w:trPr>
          <w:trHeight w:val="675"/>
        </w:trPr>
        <w:tc>
          <w:tcPr>
            <w:tcW w:w="810" w:type="dxa"/>
            <w:vMerge/>
            <w:vAlign w:val="center"/>
          </w:tcPr>
          <w:p w14:paraId="3BF5328D" w14:textId="77777777" w:rsidR="006E2389" w:rsidRPr="00FA47C6" w:rsidRDefault="006E2389" w:rsidP="002D1E98">
            <w:pPr>
              <w:rPr>
                <w:rFonts w:ascii="Sylfaen" w:eastAsia="Times New Roman" w:hAnsi="Sylfaen" w:cstheme="minorHAnsi"/>
                <w:b/>
                <w:bCs/>
                <w:color w:val="000000"/>
                <w:sz w:val="20"/>
                <w:szCs w:val="20"/>
              </w:rPr>
            </w:pPr>
          </w:p>
        </w:tc>
        <w:tc>
          <w:tcPr>
            <w:tcW w:w="4140" w:type="dxa"/>
            <w:vAlign w:val="center"/>
          </w:tcPr>
          <w:p w14:paraId="48A1280F" w14:textId="77777777" w:rsidR="006E2389" w:rsidRPr="00FA47C6" w:rsidRDefault="006E2389" w:rsidP="007367DD">
            <w:pPr>
              <w:rPr>
                <w:rFonts w:ascii="Sylfaen" w:eastAsia="Times New Roman" w:hAnsi="Sylfaen" w:cstheme="minorHAnsi"/>
                <w:color w:val="000000"/>
                <w:sz w:val="20"/>
                <w:szCs w:val="20"/>
                <w:lang w:val="ka-GE"/>
              </w:rPr>
            </w:pPr>
            <w:r w:rsidRPr="00FA47C6">
              <w:rPr>
                <w:rFonts w:ascii="Sylfaen" w:eastAsia="Times New Roman" w:hAnsi="Sylfaen" w:cstheme="minorHAnsi"/>
                <w:color w:val="000000"/>
                <w:sz w:val="20"/>
                <w:szCs w:val="20"/>
                <w:lang w:val="ka-GE"/>
              </w:rPr>
              <w:t>ამოცანა 2</w:t>
            </w:r>
          </w:p>
          <w:p w14:paraId="698AA34F" w14:textId="77777777" w:rsidR="006E2389" w:rsidRPr="00FA47C6" w:rsidRDefault="006E2389" w:rsidP="00967FDE">
            <w:pPr>
              <w:rPr>
                <w:rFonts w:ascii="Sylfaen" w:eastAsia="Times New Roman" w:hAnsi="Sylfaen" w:cstheme="minorHAnsi"/>
                <w:color w:val="000000"/>
                <w:sz w:val="20"/>
                <w:szCs w:val="20"/>
              </w:rPr>
            </w:pPr>
            <w:r w:rsidRPr="00FA47C6">
              <w:rPr>
                <w:rFonts w:ascii="Sylfaen" w:hAnsi="Sylfaen" w:cstheme="minorHAnsi"/>
                <w:sz w:val="20"/>
                <w:szCs w:val="20"/>
                <w:lang w:val="ka-GE"/>
              </w:rPr>
              <w:t>2.1 ხარისხის გაუმჯობესების დეტალური გეგმის შემუშავაბა, მათ შორის დანერგვის მონიტორიგის ჩარჩოს (</w:t>
            </w:r>
            <w:r w:rsidRPr="00FA47C6">
              <w:rPr>
                <w:rFonts w:ascii="Sylfaen" w:hAnsi="Sylfaen" w:cstheme="minorHAnsi"/>
                <w:sz w:val="20"/>
                <w:szCs w:val="20"/>
              </w:rPr>
              <w:t>logical framework)</w:t>
            </w:r>
          </w:p>
        </w:tc>
        <w:tc>
          <w:tcPr>
            <w:tcW w:w="1620" w:type="dxa"/>
            <w:vAlign w:val="center"/>
          </w:tcPr>
          <w:p w14:paraId="06A80211" w14:textId="77777777" w:rsidR="006E2389" w:rsidRPr="00FA47C6" w:rsidRDefault="006E2389" w:rsidP="002D1E98">
            <w:pPr>
              <w:rPr>
                <w:rFonts w:ascii="Sylfaen" w:eastAsia="Times New Roman" w:hAnsi="Sylfaen" w:cstheme="minorHAnsi"/>
                <w:color w:val="000000"/>
                <w:sz w:val="20"/>
                <w:szCs w:val="20"/>
                <w:lang w:val="ka-GE"/>
              </w:rPr>
            </w:pPr>
          </w:p>
        </w:tc>
        <w:tc>
          <w:tcPr>
            <w:tcW w:w="1620" w:type="dxa"/>
          </w:tcPr>
          <w:p w14:paraId="7E201A93" w14:textId="77777777" w:rsidR="006E2389" w:rsidRPr="00FA47C6" w:rsidRDefault="006E2389" w:rsidP="006E2389">
            <w:pPr>
              <w:rPr>
                <w:rFonts w:ascii="Sylfaen" w:hAnsi="Sylfaen" w:cstheme="minorHAnsi"/>
                <w:sz w:val="20"/>
                <w:szCs w:val="20"/>
                <w:lang w:val="ka-GE"/>
              </w:rPr>
            </w:pPr>
          </w:p>
        </w:tc>
        <w:tc>
          <w:tcPr>
            <w:tcW w:w="2610" w:type="dxa"/>
            <w:vAlign w:val="center"/>
          </w:tcPr>
          <w:p w14:paraId="7663FD05" w14:textId="1944C401" w:rsidR="006E2389" w:rsidRPr="00FA47C6" w:rsidRDefault="006E2389" w:rsidP="006E2389">
            <w:pPr>
              <w:ind w:left="360"/>
              <w:rPr>
                <w:rFonts w:ascii="Sylfaen" w:eastAsia="Times New Roman" w:hAnsi="Sylfaen" w:cstheme="minorHAnsi"/>
                <w:color w:val="000000"/>
                <w:sz w:val="20"/>
                <w:szCs w:val="20"/>
              </w:rPr>
            </w:pPr>
            <w:r w:rsidRPr="00FA47C6">
              <w:rPr>
                <w:rFonts w:ascii="Sylfaen" w:hAnsi="Sylfaen" w:cstheme="minorHAnsi"/>
                <w:sz w:val="20"/>
                <w:szCs w:val="20"/>
                <w:lang w:val="ka-GE"/>
              </w:rPr>
              <w:t>ხარისხის გაუმჯობესების დეტალური გეგმა</w:t>
            </w:r>
          </w:p>
        </w:tc>
      </w:tr>
      <w:tr w:rsidR="006E2389" w:rsidRPr="00FA47C6" w14:paraId="453E94F1" w14:textId="77777777" w:rsidTr="006E2389">
        <w:trPr>
          <w:trHeight w:val="638"/>
        </w:trPr>
        <w:tc>
          <w:tcPr>
            <w:tcW w:w="810" w:type="dxa"/>
            <w:vMerge/>
            <w:vAlign w:val="center"/>
          </w:tcPr>
          <w:p w14:paraId="029D7927" w14:textId="77777777" w:rsidR="006E2389" w:rsidRPr="00FA47C6" w:rsidRDefault="006E2389" w:rsidP="002D1E98">
            <w:pPr>
              <w:rPr>
                <w:rFonts w:ascii="Sylfaen" w:eastAsia="Times New Roman" w:hAnsi="Sylfaen" w:cstheme="minorHAnsi"/>
                <w:b/>
                <w:bCs/>
                <w:color w:val="000000"/>
                <w:sz w:val="20"/>
                <w:szCs w:val="20"/>
              </w:rPr>
            </w:pPr>
          </w:p>
        </w:tc>
        <w:tc>
          <w:tcPr>
            <w:tcW w:w="4140" w:type="dxa"/>
            <w:vAlign w:val="center"/>
          </w:tcPr>
          <w:p w14:paraId="4A547668" w14:textId="58E1AEC5" w:rsidR="006E2389" w:rsidRPr="00FA47C6" w:rsidRDefault="006E2389" w:rsidP="007367DD">
            <w:pPr>
              <w:rPr>
                <w:rFonts w:ascii="Sylfaen" w:eastAsia="Times New Roman" w:hAnsi="Sylfaen" w:cstheme="minorHAnsi"/>
                <w:color w:val="000000"/>
                <w:sz w:val="20"/>
                <w:szCs w:val="20"/>
                <w:lang w:val="ka-GE"/>
              </w:rPr>
            </w:pPr>
            <w:r w:rsidRPr="00FA47C6">
              <w:rPr>
                <w:rFonts w:ascii="Sylfaen" w:eastAsia="Times New Roman" w:hAnsi="Sylfaen" w:cstheme="minorHAnsi"/>
                <w:color w:val="000000"/>
                <w:sz w:val="20"/>
                <w:szCs w:val="20"/>
              </w:rPr>
              <w:t>2.</w:t>
            </w:r>
            <w:r w:rsidRPr="00FA47C6">
              <w:rPr>
                <w:rFonts w:ascii="Sylfaen" w:eastAsia="Times New Roman" w:hAnsi="Sylfaen" w:cstheme="minorHAnsi"/>
                <w:color w:val="000000"/>
                <w:sz w:val="20"/>
                <w:szCs w:val="20"/>
                <w:lang w:val="ka-GE"/>
              </w:rPr>
              <w:t>2</w:t>
            </w:r>
            <w:r w:rsidRPr="00FA47C6">
              <w:rPr>
                <w:rFonts w:ascii="Sylfaen" w:eastAsia="Times New Roman" w:hAnsi="Sylfaen" w:cstheme="minorHAnsi"/>
                <w:color w:val="000000"/>
                <w:sz w:val="20"/>
                <w:szCs w:val="20"/>
              </w:rPr>
              <w:t xml:space="preserve"> </w:t>
            </w:r>
            <w:r w:rsidRPr="00FA47C6">
              <w:rPr>
                <w:rFonts w:ascii="Sylfaen" w:eastAsia="Times New Roman" w:hAnsi="Sylfaen" w:cstheme="minorHAnsi"/>
                <w:color w:val="000000"/>
                <w:sz w:val="20"/>
                <w:szCs w:val="20"/>
                <w:lang w:val="ka-GE"/>
              </w:rPr>
              <w:t>გაუმჯობესების გუნდის ჩამოყალიბება</w:t>
            </w:r>
          </w:p>
        </w:tc>
        <w:tc>
          <w:tcPr>
            <w:tcW w:w="1620" w:type="dxa"/>
            <w:vAlign w:val="center"/>
          </w:tcPr>
          <w:p w14:paraId="254F4C93" w14:textId="77777777" w:rsidR="006E2389" w:rsidRPr="00FA47C6" w:rsidRDefault="006E2389" w:rsidP="002D1E98">
            <w:pPr>
              <w:rPr>
                <w:rFonts w:ascii="Sylfaen" w:eastAsia="Times New Roman" w:hAnsi="Sylfaen" w:cstheme="minorHAnsi"/>
                <w:color w:val="000000"/>
                <w:sz w:val="20"/>
                <w:szCs w:val="20"/>
                <w:lang w:val="ka-GE"/>
              </w:rPr>
            </w:pPr>
          </w:p>
        </w:tc>
        <w:tc>
          <w:tcPr>
            <w:tcW w:w="1620" w:type="dxa"/>
          </w:tcPr>
          <w:p w14:paraId="48627718" w14:textId="77777777" w:rsidR="006E2389" w:rsidRPr="00FA47C6" w:rsidRDefault="006E2389" w:rsidP="006E2389">
            <w:pPr>
              <w:ind w:left="360"/>
              <w:rPr>
                <w:rFonts w:ascii="Sylfaen" w:eastAsia="Times New Roman" w:hAnsi="Sylfaen" w:cstheme="minorHAnsi"/>
                <w:color w:val="000000"/>
                <w:sz w:val="20"/>
                <w:szCs w:val="20"/>
                <w:lang w:val="ka-GE"/>
              </w:rPr>
            </w:pPr>
          </w:p>
        </w:tc>
        <w:tc>
          <w:tcPr>
            <w:tcW w:w="2610" w:type="dxa"/>
            <w:vAlign w:val="center"/>
          </w:tcPr>
          <w:p w14:paraId="6E39603E" w14:textId="30A86CCB" w:rsidR="006E2389" w:rsidRPr="00FA47C6" w:rsidRDefault="006E2389" w:rsidP="006E2389">
            <w:pPr>
              <w:ind w:left="360"/>
              <w:rPr>
                <w:rFonts w:ascii="Sylfaen" w:eastAsia="Times New Roman" w:hAnsi="Sylfaen" w:cstheme="minorHAnsi"/>
                <w:color w:val="000000"/>
                <w:sz w:val="20"/>
                <w:szCs w:val="20"/>
              </w:rPr>
            </w:pPr>
            <w:r w:rsidRPr="00FA47C6">
              <w:rPr>
                <w:rFonts w:ascii="Sylfaen" w:eastAsia="Times New Roman" w:hAnsi="Sylfaen" w:cstheme="minorHAnsi"/>
                <w:color w:val="000000"/>
                <w:sz w:val="20"/>
                <w:szCs w:val="20"/>
                <w:lang w:val="ka-GE"/>
              </w:rPr>
              <w:t>გაუმჯობესების გუნდის წევრთა სია</w:t>
            </w:r>
          </w:p>
          <w:p w14:paraId="2A2E173F" w14:textId="77777777" w:rsidR="006E2389" w:rsidRPr="00FA47C6" w:rsidRDefault="006E2389" w:rsidP="005F7201">
            <w:pPr>
              <w:ind w:left="360"/>
              <w:rPr>
                <w:rFonts w:ascii="Sylfaen" w:eastAsia="Times New Roman" w:hAnsi="Sylfaen" w:cstheme="minorHAnsi"/>
                <w:color w:val="000000"/>
                <w:sz w:val="20"/>
                <w:szCs w:val="20"/>
                <w:lang w:val="ka-GE"/>
              </w:rPr>
            </w:pPr>
          </w:p>
        </w:tc>
      </w:tr>
      <w:tr w:rsidR="006E2389" w:rsidRPr="00FA47C6" w14:paraId="7F016F27" w14:textId="77777777" w:rsidTr="006E2389">
        <w:trPr>
          <w:trHeight w:val="188"/>
        </w:trPr>
        <w:tc>
          <w:tcPr>
            <w:tcW w:w="810" w:type="dxa"/>
            <w:vMerge/>
            <w:vAlign w:val="center"/>
          </w:tcPr>
          <w:p w14:paraId="0CE4BF37" w14:textId="77777777" w:rsidR="006E2389" w:rsidRPr="00FA47C6" w:rsidRDefault="006E2389" w:rsidP="002D1E98">
            <w:pPr>
              <w:rPr>
                <w:rFonts w:ascii="Sylfaen" w:eastAsia="Times New Roman" w:hAnsi="Sylfaen" w:cstheme="minorHAnsi"/>
                <w:b/>
                <w:bCs/>
                <w:color w:val="000000"/>
                <w:sz w:val="20"/>
                <w:szCs w:val="20"/>
              </w:rPr>
            </w:pPr>
          </w:p>
        </w:tc>
        <w:tc>
          <w:tcPr>
            <w:tcW w:w="4140" w:type="dxa"/>
            <w:vAlign w:val="center"/>
          </w:tcPr>
          <w:p w14:paraId="3E885668" w14:textId="77777777" w:rsidR="006E2389" w:rsidRPr="00FA47C6" w:rsidRDefault="006E2389" w:rsidP="00967FDE">
            <w:pPr>
              <w:rPr>
                <w:rFonts w:ascii="Sylfaen" w:eastAsia="Times New Roman" w:hAnsi="Sylfaen" w:cstheme="minorHAnsi"/>
                <w:color w:val="000000"/>
                <w:sz w:val="20"/>
                <w:szCs w:val="20"/>
              </w:rPr>
            </w:pPr>
            <w:r w:rsidRPr="00FA47C6">
              <w:rPr>
                <w:rFonts w:ascii="Sylfaen" w:hAnsi="Sylfaen" w:cstheme="minorHAnsi"/>
                <w:sz w:val="20"/>
                <w:szCs w:val="20"/>
                <w:lang w:val="ka-GE"/>
              </w:rPr>
              <w:t>2.3 საწყისი „სასწავლო სესიის“ ორგანიზება</w:t>
            </w:r>
          </w:p>
        </w:tc>
        <w:tc>
          <w:tcPr>
            <w:tcW w:w="1620" w:type="dxa"/>
            <w:vAlign w:val="center"/>
          </w:tcPr>
          <w:p w14:paraId="0F679AD1" w14:textId="77777777" w:rsidR="006E2389" w:rsidRPr="00FA47C6" w:rsidRDefault="006E2389" w:rsidP="002D1E98">
            <w:pPr>
              <w:rPr>
                <w:rFonts w:ascii="Sylfaen" w:eastAsia="Times New Roman" w:hAnsi="Sylfaen" w:cstheme="minorHAnsi"/>
                <w:color w:val="000000"/>
                <w:sz w:val="20"/>
                <w:szCs w:val="20"/>
                <w:lang w:val="ka-GE"/>
              </w:rPr>
            </w:pPr>
          </w:p>
        </w:tc>
        <w:tc>
          <w:tcPr>
            <w:tcW w:w="1620" w:type="dxa"/>
          </w:tcPr>
          <w:p w14:paraId="334020F5" w14:textId="77777777" w:rsidR="006E2389" w:rsidRPr="00FA47C6" w:rsidRDefault="006E2389" w:rsidP="006E2389">
            <w:pPr>
              <w:ind w:left="360"/>
              <w:rPr>
                <w:rFonts w:ascii="Sylfaen" w:eastAsia="Times New Roman" w:hAnsi="Sylfaen" w:cstheme="minorHAnsi"/>
                <w:color w:val="000000"/>
                <w:sz w:val="20"/>
                <w:szCs w:val="20"/>
                <w:lang w:val="ka-GE"/>
              </w:rPr>
            </w:pPr>
          </w:p>
        </w:tc>
        <w:tc>
          <w:tcPr>
            <w:tcW w:w="2610" w:type="dxa"/>
            <w:vAlign w:val="center"/>
          </w:tcPr>
          <w:p w14:paraId="14AAFEE6" w14:textId="047FBB46" w:rsidR="006E2389" w:rsidRPr="00FA47C6" w:rsidRDefault="006E2389" w:rsidP="006E2389">
            <w:pPr>
              <w:ind w:left="360"/>
              <w:rPr>
                <w:rFonts w:ascii="Sylfaen" w:eastAsia="Times New Roman" w:hAnsi="Sylfaen" w:cstheme="minorHAnsi"/>
                <w:color w:val="000000"/>
                <w:sz w:val="20"/>
                <w:szCs w:val="20"/>
                <w:lang w:val="ka-GE"/>
              </w:rPr>
            </w:pPr>
            <w:r w:rsidRPr="00FA47C6">
              <w:rPr>
                <w:rFonts w:ascii="Sylfaen" w:eastAsia="Times New Roman" w:hAnsi="Sylfaen" w:cstheme="minorHAnsi"/>
                <w:color w:val="000000"/>
                <w:sz w:val="20"/>
                <w:szCs w:val="20"/>
                <w:lang w:val="ka-GE"/>
              </w:rPr>
              <w:t>სასწავლო სესიის ამსახველი მასალები, დამსწრეთა სიის და პრეზენტაციების ჩათვლით</w:t>
            </w:r>
          </w:p>
        </w:tc>
      </w:tr>
      <w:tr w:rsidR="006E2389" w:rsidRPr="00FA47C6" w14:paraId="3BB9AAD8" w14:textId="77777777" w:rsidTr="006E2389">
        <w:trPr>
          <w:trHeight w:val="675"/>
        </w:trPr>
        <w:tc>
          <w:tcPr>
            <w:tcW w:w="810" w:type="dxa"/>
            <w:vMerge/>
            <w:vAlign w:val="center"/>
          </w:tcPr>
          <w:p w14:paraId="751234CF" w14:textId="77777777" w:rsidR="006E2389" w:rsidRPr="00FA47C6" w:rsidRDefault="006E2389" w:rsidP="002D1E98">
            <w:pPr>
              <w:rPr>
                <w:rFonts w:ascii="Sylfaen" w:eastAsia="Times New Roman" w:hAnsi="Sylfaen" w:cstheme="minorHAnsi"/>
                <w:b/>
                <w:bCs/>
                <w:color w:val="000000"/>
                <w:sz w:val="20"/>
                <w:szCs w:val="20"/>
              </w:rPr>
            </w:pPr>
          </w:p>
        </w:tc>
        <w:tc>
          <w:tcPr>
            <w:tcW w:w="4140" w:type="dxa"/>
            <w:vAlign w:val="center"/>
          </w:tcPr>
          <w:p w14:paraId="5680DCF6" w14:textId="77777777" w:rsidR="006E2389" w:rsidRPr="00FA47C6" w:rsidRDefault="006E2389" w:rsidP="00967FDE">
            <w:pPr>
              <w:rPr>
                <w:rFonts w:ascii="Sylfaen" w:hAnsi="Sylfaen" w:cstheme="minorHAnsi"/>
                <w:sz w:val="20"/>
                <w:szCs w:val="20"/>
                <w:lang w:val="ka-GE"/>
              </w:rPr>
            </w:pPr>
            <w:r w:rsidRPr="00FA47C6">
              <w:rPr>
                <w:rFonts w:ascii="Sylfaen" w:hAnsi="Sylfaen" w:cstheme="minorHAnsi"/>
                <w:sz w:val="20"/>
                <w:szCs w:val="20"/>
                <w:lang w:val="ka-GE"/>
              </w:rPr>
              <w:t>2.4 ხარისიხის გაუმჯობესების გუნდის წევრთა და დაწესებულების პერსონალის ტრენინგი</w:t>
            </w:r>
          </w:p>
        </w:tc>
        <w:tc>
          <w:tcPr>
            <w:tcW w:w="1620" w:type="dxa"/>
            <w:vAlign w:val="center"/>
          </w:tcPr>
          <w:p w14:paraId="28A9BBA2" w14:textId="77777777" w:rsidR="006E2389" w:rsidRPr="00FA47C6" w:rsidRDefault="006E2389" w:rsidP="002D1E98">
            <w:pPr>
              <w:rPr>
                <w:rFonts w:ascii="Sylfaen" w:eastAsia="Times New Roman" w:hAnsi="Sylfaen" w:cstheme="minorHAnsi"/>
                <w:color w:val="000000"/>
                <w:sz w:val="20"/>
                <w:szCs w:val="20"/>
                <w:lang w:val="ka-GE"/>
              </w:rPr>
            </w:pPr>
          </w:p>
        </w:tc>
        <w:tc>
          <w:tcPr>
            <w:tcW w:w="1620" w:type="dxa"/>
          </w:tcPr>
          <w:p w14:paraId="48ADAC80" w14:textId="77777777" w:rsidR="006E2389" w:rsidRPr="00FA47C6" w:rsidRDefault="006E2389" w:rsidP="006E2389">
            <w:pPr>
              <w:ind w:left="360"/>
              <w:rPr>
                <w:rFonts w:ascii="Sylfaen" w:eastAsia="Times New Roman" w:hAnsi="Sylfaen" w:cstheme="minorHAnsi"/>
                <w:color w:val="000000"/>
                <w:sz w:val="20"/>
                <w:szCs w:val="20"/>
                <w:lang w:val="ka-GE"/>
              </w:rPr>
            </w:pPr>
          </w:p>
        </w:tc>
        <w:tc>
          <w:tcPr>
            <w:tcW w:w="2610" w:type="dxa"/>
            <w:vAlign w:val="center"/>
          </w:tcPr>
          <w:p w14:paraId="12900FC5" w14:textId="3E3D1725" w:rsidR="006E2389" w:rsidRPr="00FA47C6" w:rsidRDefault="006E2389" w:rsidP="006E2389">
            <w:pPr>
              <w:ind w:left="360"/>
              <w:rPr>
                <w:rFonts w:ascii="Sylfaen" w:eastAsia="Times New Roman" w:hAnsi="Sylfaen" w:cstheme="minorHAnsi"/>
                <w:color w:val="000000"/>
                <w:sz w:val="20"/>
                <w:szCs w:val="20"/>
                <w:lang w:val="ka-GE"/>
              </w:rPr>
            </w:pPr>
            <w:r w:rsidRPr="00FA47C6">
              <w:rPr>
                <w:rFonts w:ascii="Sylfaen" w:eastAsia="Times New Roman" w:hAnsi="Sylfaen" w:cstheme="minorHAnsi"/>
                <w:color w:val="000000"/>
                <w:sz w:val="20"/>
                <w:szCs w:val="20"/>
                <w:lang w:val="ka-GE"/>
              </w:rPr>
              <w:t>ტრანინგის ამსახველი მასალები, დამსწრეთა სიის და პრეზენტაციების ჩათვლით</w:t>
            </w:r>
          </w:p>
        </w:tc>
      </w:tr>
      <w:tr w:rsidR="006E2389" w:rsidRPr="00FA47C6" w14:paraId="23C7E08A" w14:textId="77777777" w:rsidTr="006E2389">
        <w:trPr>
          <w:trHeight w:val="1070"/>
        </w:trPr>
        <w:tc>
          <w:tcPr>
            <w:tcW w:w="810" w:type="dxa"/>
            <w:vMerge/>
            <w:vAlign w:val="center"/>
          </w:tcPr>
          <w:p w14:paraId="5CDBF5BC" w14:textId="77777777" w:rsidR="006E2389" w:rsidRPr="00FA47C6" w:rsidRDefault="006E2389" w:rsidP="002D1E98">
            <w:pPr>
              <w:rPr>
                <w:rFonts w:ascii="Sylfaen" w:eastAsia="Times New Roman" w:hAnsi="Sylfaen" w:cstheme="minorHAnsi"/>
                <w:b/>
                <w:bCs/>
                <w:color w:val="000000"/>
                <w:sz w:val="20"/>
                <w:szCs w:val="20"/>
              </w:rPr>
            </w:pPr>
          </w:p>
        </w:tc>
        <w:tc>
          <w:tcPr>
            <w:tcW w:w="4140" w:type="dxa"/>
            <w:vAlign w:val="center"/>
          </w:tcPr>
          <w:p w14:paraId="7D6F2242" w14:textId="77777777" w:rsidR="006E2389" w:rsidRPr="00FA47C6" w:rsidRDefault="006E2389" w:rsidP="00D47594">
            <w:pPr>
              <w:rPr>
                <w:rFonts w:ascii="Sylfaen" w:eastAsia="Times New Roman" w:hAnsi="Sylfaen" w:cstheme="minorHAnsi"/>
                <w:color w:val="000000"/>
                <w:sz w:val="20"/>
                <w:szCs w:val="20"/>
                <w:lang w:val="ka-GE"/>
              </w:rPr>
            </w:pPr>
            <w:r w:rsidRPr="00FA47C6">
              <w:rPr>
                <w:rFonts w:ascii="Sylfaen" w:eastAsia="Times New Roman" w:hAnsi="Sylfaen" w:cstheme="minorHAnsi"/>
                <w:color w:val="000000"/>
                <w:sz w:val="20"/>
                <w:szCs w:val="20"/>
              </w:rPr>
              <w:t>2.</w:t>
            </w:r>
            <w:r w:rsidRPr="00FA47C6">
              <w:rPr>
                <w:rFonts w:ascii="Sylfaen" w:eastAsia="Times New Roman" w:hAnsi="Sylfaen" w:cstheme="minorHAnsi"/>
                <w:color w:val="000000"/>
                <w:sz w:val="20"/>
                <w:szCs w:val="20"/>
                <w:lang w:val="ka-GE"/>
              </w:rPr>
              <w:t>5</w:t>
            </w:r>
            <w:r w:rsidRPr="00FA47C6">
              <w:rPr>
                <w:rFonts w:ascii="Sylfaen" w:eastAsia="Times New Roman" w:hAnsi="Sylfaen" w:cstheme="minorHAnsi"/>
                <w:color w:val="000000"/>
                <w:sz w:val="20"/>
                <w:szCs w:val="20"/>
              </w:rPr>
              <w:t xml:space="preserve"> </w:t>
            </w:r>
            <w:r w:rsidRPr="00FA47C6">
              <w:rPr>
                <w:rFonts w:ascii="Sylfaen" w:eastAsia="Times New Roman" w:hAnsi="Sylfaen" w:cstheme="minorHAnsi"/>
                <w:color w:val="000000"/>
                <w:sz w:val="20"/>
                <w:szCs w:val="20"/>
                <w:lang w:val="ka-GE"/>
              </w:rPr>
              <w:t>ტუბერკულოზის მართვის სტანდარტების შემუშავება</w:t>
            </w:r>
            <w:r w:rsidRPr="00FA47C6">
              <w:rPr>
                <w:rFonts w:ascii="Sylfaen" w:eastAsia="Times New Roman" w:hAnsi="Sylfaen" w:cstheme="minorHAnsi"/>
                <w:color w:val="000000"/>
                <w:sz w:val="20"/>
                <w:szCs w:val="20"/>
              </w:rPr>
              <w:t xml:space="preserve"> </w:t>
            </w:r>
            <w:r w:rsidRPr="00FA47C6">
              <w:rPr>
                <w:rFonts w:ascii="Sylfaen" w:hAnsi="Sylfaen" w:cstheme="minorHAnsi"/>
                <w:sz w:val="20"/>
                <w:szCs w:val="20"/>
                <w:lang w:val="ka-GE"/>
              </w:rPr>
              <w:t>(მათ შორის ხარისხის მონიტორინგის ინდიკატორებისა და შესაბამისი სამიზნეების)</w:t>
            </w:r>
          </w:p>
          <w:p w14:paraId="2B822C93" w14:textId="77777777" w:rsidR="006E2389" w:rsidRPr="00FA47C6" w:rsidRDefault="006E2389" w:rsidP="007367DD">
            <w:pPr>
              <w:rPr>
                <w:rFonts w:ascii="Sylfaen" w:eastAsia="Times New Roman" w:hAnsi="Sylfaen" w:cstheme="minorHAnsi"/>
                <w:color w:val="000000"/>
                <w:sz w:val="20"/>
                <w:szCs w:val="20"/>
                <w:lang w:val="ka-GE"/>
              </w:rPr>
            </w:pPr>
          </w:p>
        </w:tc>
        <w:tc>
          <w:tcPr>
            <w:tcW w:w="1620" w:type="dxa"/>
            <w:vAlign w:val="center"/>
          </w:tcPr>
          <w:p w14:paraId="3BF4BAC6" w14:textId="77777777" w:rsidR="006E2389" w:rsidRPr="00FA47C6" w:rsidRDefault="006E2389" w:rsidP="002D1E98">
            <w:pPr>
              <w:rPr>
                <w:rFonts w:ascii="Sylfaen" w:eastAsia="Times New Roman" w:hAnsi="Sylfaen" w:cstheme="minorHAnsi"/>
                <w:color w:val="000000"/>
                <w:sz w:val="20"/>
                <w:szCs w:val="20"/>
                <w:lang w:val="ka-GE"/>
              </w:rPr>
            </w:pPr>
          </w:p>
        </w:tc>
        <w:tc>
          <w:tcPr>
            <w:tcW w:w="1620" w:type="dxa"/>
          </w:tcPr>
          <w:p w14:paraId="52507A45" w14:textId="77777777" w:rsidR="006E2389" w:rsidRPr="00FA47C6" w:rsidRDefault="006E2389" w:rsidP="006E2389">
            <w:pPr>
              <w:ind w:left="360"/>
              <w:rPr>
                <w:rFonts w:ascii="Sylfaen" w:eastAsia="Times New Roman" w:hAnsi="Sylfaen" w:cstheme="minorHAnsi"/>
                <w:color w:val="000000"/>
                <w:sz w:val="20"/>
                <w:szCs w:val="20"/>
                <w:lang w:val="ka-GE"/>
              </w:rPr>
            </w:pPr>
          </w:p>
        </w:tc>
        <w:tc>
          <w:tcPr>
            <w:tcW w:w="2610" w:type="dxa"/>
            <w:vAlign w:val="center"/>
          </w:tcPr>
          <w:p w14:paraId="36AE20B0" w14:textId="49BF7DF8" w:rsidR="006E2389" w:rsidRPr="00FA47C6" w:rsidRDefault="006E2389" w:rsidP="006E2389">
            <w:pPr>
              <w:ind w:left="360"/>
              <w:rPr>
                <w:rFonts w:ascii="Sylfaen" w:eastAsia="Times New Roman" w:hAnsi="Sylfaen" w:cstheme="minorHAnsi"/>
                <w:color w:val="000000"/>
                <w:sz w:val="20"/>
                <w:szCs w:val="20"/>
              </w:rPr>
            </w:pPr>
            <w:r w:rsidRPr="00FA47C6">
              <w:rPr>
                <w:rFonts w:ascii="Sylfaen" w:eastAsia="Times New Roman" w:hAnsi="Sylfaen" w:cstheme="minorHAnsi"/>
                <w:color w:val="000000"/>
                <w:sz w:val="20"/>
                <w:szCs w:val="20"/>
                <w:lang w:val="ka-GE"/>
              </w:rPr>
              <w:t>ტუბერკულოზის მართვის საკვანძო სტანდარტები, ინდიკატორები და სამიზნეები</w:t>
            </w:r>
          </w:p>
          <w:p w14:paraId="5128C2D9" w14:textId="77777777" w:rsidR="006E2389" w:rsidRPr="00FA47C6" w:rsidRDefault="006E2389" w:rsidP="00D47594">
            <w:pPr>
              <w:ind w:left="360"/>
              <w:rPr>
                <w:rFonts w:ascii="Sylfaen" w:eastAsia="Times New Roman" w:hAnsi="Sylfaen" w:cstheme="minorHAnsi"/>
                <w:color w:val="000000"/>
                <w:sz w:val="20"/>
                <w:szCs w:val="20"/>
                <w:lang w:val="ka-GE"/>
              </w:rPr>
            </w:pPr>
          </w:p>
        </w:tc>
      </w:tr>
      <w:tr w:rsidR="006E2389" w:rsidRPr="00FA47C6" w14:paraId="20A00B72" w14:textId="77777777" w:rsidTr="006E2389">
        <w:trPr>
          <w:trHeight w:val="557"/>
        </w:trPr>
        <w:tc>
          <w:tcPr>
            <w:tcW w:w="810" w:type="dxa"/>
            <w:vMerge w:val="restart"/>
            <w:vAlign w:val="center"/>
          </w:tcPr>
          <w:p w14:paraId="45FDE294" w14:textId="77777777" w:rsidR="006E2389" w:rsidRPr="00FA47C6" w:rsidRDefault="006E2389" w:rsidP="002D1E98">
            <w:pPr>
              <w:jc w:val="center"/>
              <w:rPr>
                <w:rFonts w:ascii="Sylfaen" w:eastAsia="Times New Roman" w:hAnsi="Sylfaen" w:cstheme="minorHAnsi"/>
                <w:b/>
                <w:bCs/>
                <w:color w:val="000000"/>
                <w:sz w:val="20"/>
                <w:szCs w:val="20"/>
              </w:rPr>
            </w:pPr>
          </w:p>
          <w:p w14:paraId="37EA1671" w14:textId="333F8AE0" w:rsidR="006E2389" w:rsidRPr="00FA47C6" w:rsidRDefault="00FA47C6" w:rsidP="002D1E98">
            <w:pPr>
              <w:jc w:val="center"/>
              <w:rPr>
                <w:rFonts w:ascii="Sylfaen" w:eastAsia="Times New Roman" w:hAnsi="Sylfaen" w:cstheme="minorHAnsi"/>
                <w:b/>
                <w:bCs/>
                <w:color w:val="000000"/>
                <w:sz w:val="20"/>
                <w:szCs w:val="20"/>
              </w:rPr>
            </w:pPr>
            <w:r w:rsidRPr="00FA47C6">
              <w:rPr>
                <w:rFonts w:ascii="Sylfaen" w:eastAsia="Times New Roman" w:hAnsi="Sylfaen" w:cstheme="minorHAnsi"/>
                <w:b/>
                <w:bCs/>
                <w:color w:val="000000"/>
                <w:sz w:val="20"/>
                <w:szCs w:val="20"/>
              </w:rPr>
              <w:lastRenderedPageBreak/>
              <w:t>ფაზა 2</w:t>
            </w:r>
          </w:p>
        </w:tc>
        <w:tc>
          <w:tcPr>
            <w:tcW w:w="4140" w:type="dxa"/>
            <w:vAlign w:val="center"/>
          </w:tcPr>
          <w:p w14:paraId="0221BCDE" w14:textId="7F8F573A" w:rsidR="006E2389" w:rsidRPr="00FA47C6" w:rsidRDefault="006E2389" w:rsidP="0081066E">
            <w:pPr>
              <w:rPr>
                <w:rFonts w:ascii="Sylfaen" w:eastAsia="Times New Roman" w:hAnsi="Sylfaen" w:cstheme="minorHAnsi"/>
                <w:color w:val="000000"/>
                <w:sz w:val="20"/>
                <w:szCs w:val="20"/>
                <w:lang w:val="ka-GE"/>
              </w:rPr>
            </w:pPr>
            <w:r w:rsidRPr="00FA47C6">
              <w:rPr>
                <w:rFonts w:ascii="Sylfaen" w:eastAsia="Times New Roman" w:hAnsi="Sylfaen" w:cstheme="minorHAnsi"/>
                <w:color w:val="000000"/>
                <w:sz w:val="20"/>
                <w:szCs w:val="20"/>
                <w:lang w:val="ka-GE"/>
              </w:rPr>
              <w:lastRenderedPageBreak/>
              <w:t>ამოცანა 1</w:t>
            </w:r>
          </w:p>
        </w:tc>
        <w:tc>
          <w:tcPr>
            <w:tcW w:w="1620" w:type="dxa"/>
            <w:vAlign w:val="center"/>
          </w:tcPr>
          <w:p w14:paraId="63574D6A" w14:textId="77777777" w:rsidR="006E2389" w:rsidRPr="00FA47C6" w:rsidRDefault="006E2389" w:rsidP="002D1E98">
            <w:pPr>
              <w:rPr>
                <w:rFonts w:ascii="Sylfaen" w:eastAsia="Times New Roman" w:hAnsi="Sylfaen" w:cstheme="minorHAnsi"/>
                <w:color w:val="000000"/>
                <w:sz w:val="20"/>
                <w:szCs w:val="20"/>
              </w:rPr>
            </w:pPr>
          </w:p>
        </w:tc>
        <w:tc>
          <w:tcPr>
            <w:tcW w:w="1620" w:type="dxa"/>
          </w:tcPr>
          <w:p w14:paraId="75AD2810" w14:textId="77777777" w:rsidR="006E2389" w:rsidRPr="00FA47C6" w:rsidRDefault="006E2389" w:rsidP="0081066E">
            <w:pPr>
              <w:rPr>
                <w:rFonts w:ascii="Sylfaen" w:eastAsia="Times New Roman" w:hAnsi="Sylfaen" w:cstheme="minorHAnsi"/>
                <w:color w:val="000000"/>
                <w:sz w:val="20"/>
                <w:szCs w:val="20"/>
              </w:rPr>
            </w:pPr>
          </w:p>
        </w:tc>
        <w:tc>
          <w:tcPr>
            <w:tcW w:w="2610" w:type="dxa"/>
            <w:vAlign w:val="center"/>
          </w:tcPr>
          <w:p w14:paraId="2741C144" w14:textId="746F8779" w:rsidR="006E2389" w:rsidRPr="00FA47C6" w:rsidRDefault="006E2389" w:rsidP="0081066E">
            <w:pPr>
              <w:rPr>
                <w:rFonts w:ascii="Sylfaen" w:eastAsia="Times New Roman" w:hAnsi="Sylfaen" w:cstheme="minorHAnsi"/>
                <w:color w:val="000000"/>
                <w:sz w:val="20"/>
                <w:szCs w:val="20"/>
              </w:rPr>
            </w:pPr>
          </w:p>
        </w:tc>
      </w:tr>
      <w:tr w:rsidR="006E2389" w:rsidRPr="00FA47C6" w14:paraId="7F695AE5" w14:textId="77777777" w:rsidTr="006E2389">
        <w:trPr>
          <w:trHeight w:val="440"/>
        </w:trPr>
        <w:tc>
          <w:tcPr>
            <w:tcW w:w="810" w:type="dxa"/>
            <w:vMerge/>
            <w:vAlign w:val="center"/>
          </w:tcPr>
          <w:p w14:paraId="36E3E1AA" w14:textId="77777777" w:rsidR="006E2389" w:rsidRPr="00FA47C6" w:rsidRDefault="006E2389" w:rsidP="002D1E98">
            <w:pPr>
              <w:jc w:val="center"/>
              <w:rPr>
                <w:rFonts w:ascii="Sylfaen" w:eastAsia="Times New Roman" w:hAnsi="Sylfaen" w:cstheme="minorHAnsi"/>
                <w:b/>
                <w:bCs/>
                <w:color w:val="000000"/>
                <w:sz w:val="20"/>
                <w:szCs w:val="20"/>
              </w:rPr>
            </w:pPr>
          </w:p>
        </w:tc>
        <w:tc>
          <w:tcPr>
            <w:tcW w:w="4140" w:type="dxa"/>
            <w:vAlign w:val="center"/>
          </w:tcPr>
          <w:p w14:paraId="5F551B03" w14:textId="3F5FB12E" w:rsidR="006E2389" w:rsidRPr="00FA47C6" w:rsidRDefault="006E2389" w:rsidP="0081066E">
            <w:pPr>
              <w:rPr>
                <w:rFonts w:ascii="Sylfaen" w:eastAsia="Times New Roman" w:hAnsi="Sylfaen" w:cstheme="minorHAnsi"/>
                <w:color w:val="000000"/>
                <w:sz w:val="20"/>
                <w:szCs w:val="20"/>
                <w:lang w:val="ka-GE"/>
              </w:rPr>
            </w:pPr>
            <w:r w:rsidRPr="00FA47C6">
              <w:rPr>
                <w:rFonts w:ascii="Sylfaen" w:eastAsia="Times New Roman" w:hAnsi="Sylfaen" w:cstheme="minorHAnsi"/>
                <w:color w:val="000000"/>
                <w:sz w:val="20"/>
                <w:szCs w:val="20"/>
                <w:lang w:val="ka-GE"/>
              </w:rPr>
              <w:t>1.3</w:t>
            </w:r>
            <w:r w:rsidRPr="00FA47C6">
              <w:rPr>
                <w:rFonts w:ascii="Sylfaen" w:eastAsia="Times New Roman" w:hAnsi="Sylfaen" w:cstheme="minorHAnsi"/>
                <w:color w:val="000000"/>
                <w:sz w:val="20"/>
                <w:szCs w:val="20"/>
              </w:rPr>
              <w:t xml:space="preserve"> </w:t>
            </w:r>
            <w:r w:rsidRPr="00FA47C6">
              <w:rPr>
                <w:rFonts w:ascii="Sylfaen" w:eastAsia="Times New Roman" w:hAnsi="Sylfaen" w:cstheme="minorHAnsi"/>
                <w:color w:val="000000"/>
                <w:sz w:val="20"/>
                <w:szCs w:val="20"/>
                <w:lang w:val="ka-GE"/>
              </w:rPr>
              <w:t xml:space="preserve">ვიზიტი სამედიცინო დაწესებულებებში  სენსიტიური და რეზისტენტული პაციენტების მკურნალობის ხარისხის შეფასების მიზნით </w:t>
            </w:r>
            <w:r w:rsidRPr="00FA47C6">
              <w:rPr>
                <w:rFonts w:ascii="Sylfaen" w:eastAsia="Times New Roman" w:hAnsi="Sylfaen" w:cstheme="minorHAnsi"/>
                <w:color w:val="000000"/>
                <w:sz w:val="20"/>
                <w:szCs w:val="20"/>
              </w:rPr>
              <w:t xml:space="preserve"> (</w:t>
            </w:r>
            <w:r w:rsidRPr="00FA47C6">
              <w:rPr>
                <w:rFonts w:ascii="Sylfaen" w:eastAsia="Times New Roman" w:hAnsi="Sylfaen" w:cstheme="minorHAnsi"/>
                <w:color w:val="000000"/>
                <w:sz w:val="20"/>
                <w:szCs w:val="20"/>
                <w:lang w:val="ka-GE"/>
              </w:rPr>
              <w:t>თბილისში, ქუთაისში, ზუგდიდში, ბათუმში)</w:t>
            </w:r>
          </w:p>
        </w:tc>
        <w:tc>
          <w:tcPr>
            <w:tcW w:w="1620" w:type="dxa"/>
            <w:vAlign w:val="center"/>
          </w:tcPr>
          <w:p w14:paraId="5EFA1D47" w14:textId="77777777" w:rsidR="006E2389" w:rsidRPr="00FA47C6" w:rsidRDefault="006E2389" w:rsidP="002D1E98">
            <w:pPr>
              <w:rPr>
                <w:rFonts w:ascii="Sylfaen" w:eastAsia="Times New Roman" w:hAnsi="Sylfaen" w:cstheme="minorHAnsi"/>
                <w:color w:val="000000"/>
                <w:sz w:val="20"/>
                <w:szCs w:val="20"/>
              </w:rPr>
            </w:pPr>
          </w:p>
        </w:tc>
        <w:tc>
          <w:tcPr>
            <w:tcW w:w="1620" w:type="dxa"/>
          </w:tcPr>
          <w:p w14:paraId="490A0672" w14:textId="77777777" w:rsidR="006E2389" w:rsidRPr="00FA47C6" w:rsidRDefault="006E2389" w:rsidP="006E2389">
            <w:pPr>
              <w:ind w:left="360"/>
              <w:rPr>
                <w:rFonts w:ascii="Sylfaen" w:eastAsia="Times New Roman" w:hAnsi="Sylfaen" w:cstheme="minorHAnsi"/>
                <w:color w:val="000000"/>
                <w:sz w:val="20"/>
                <w:szCs w:val="20"/>
                <w:lang w:val="ka-GE"/>
              </w:rPr>
            </w:pPr>
          </w:p>
        </w:tc>
        <w:tc>
          <w:tcPr>
            <w:tcW w:w="2610" w:type="dxa"/>
            <w:vAlign w:val="center"/>
          </w:tcPr>
          <w:p w14:paraId="3C4208CE" w14:textId="0EE6D870" w:rsidR="006E2389" w:rsidRPr="00FA47C6" w:rsidRDefault="006E2389" w:rsidP="006E2389">
            <w:pPr>
              <w:ind w:left="360"/>
              <w:rPr>
                <w:rFonts w:ascii="Sylfaen" w:eastAsia="Times New Roman" w:hAnsi="Sylfaen" w:cstheme="minorHAnsi"/>
                <w:color w:val="000000"/>
                <w:sz w:val="20"/>
                <w:szCs w:val="20"/>
                <w:lang w:val="ka-GE"/>
              </w:rPr>
            </w:pPr>
            <w:r w:rsidRPr="00FA47C6">
              <w:rPr>
                <w:rFonts w:ascii="Sylfaen" w:eastAsia="Times New Roman" w:hAnsi="Sylfaen" w:cstheme="minorHAnsi"/>
                <w:color w:val="000000"/>
                <w:sz w:val="20"/>
                <w:szCs w:val="20"/>
                <w:lang w:val="ka-GE"/>
              </w:rPr>
              <w:t>სამედიცინო დაწესებულებების შეფასების ანგარიში</w:t>
            </w:r>
          </w:p>
          <w:p w14:paraId="4C58A2C6" w14:textId="77777777" w:rsidR="006E2389" w:rsidRPr="00FA47C6" w:rsidRDefault="006E2389" w:rsidP="005F7201">
            <w:pPr>
              <w:ind w:left="360"/>
              <w:rPr>
                <w:rFonts w:ascii="Sylfaen" w:eastAsia="Times New Roman" w:hAnsi="Sylfaen" w:cstheme="minorHAnsi"/>
                <w:color w:val="000000"/>
                <w:sz w:val="20"/>
                <w:szCs w:val="20"/>
                <w:lang w:val="ka-GE"/>
              </w:rPr>
            </w:pPr>
          </w:p>
        </w:tc>
      </w:tr>
      <w:tr w:rsidR="006E2389" w:rsidRPr="00FA47C6" w14:paraId="3EA55FAF" w14:textId="77777777" w:rsidTr="006E2389">
        <w:trPr>
          <w:trHeight w:val="1430"/>
        </w:trPr>
        <w:tc>
          <w:tcPr>
            <w:tcW w:w="810" w:type="dxa"/>
            <w:vMerge/>
            <w:vAlign w:val="center"/>
          </w:tcPr>
          <w:p w14:paraId="07D102A6" w14:textId="77777777" w:rsidR="006E2389" w:rsidRPr="00FA47C6" w:rsidRDefault="006E2389" w:rsidP="002D1E98">
            <w:pPr>
              <w:jc w:val="center"/>
              <w:rPr>
                <w:rFonts w:ascii="Sylfaen" w:eastAsia="Times New Roman" w:hAnsi="Sylfaen" w:cstheme="minorHAnsi"/>
                <w:b/>
                <w:bCs/>
                <w:color w:val="000000"/>
                <w:sz w:val="20"/>
                <w:szCs w:val="20"/>
              </w:rPr>
            </w:pPr>
          </w:p>
        </w:tc>
        <w:tc>
          <w:tcPr>
            <w:tcW w:w="4140" w:type="dxa"/>
            <w:vAlign w:val="center"/>
          </w:tcPr>
          <w:p w14:paraId="785F4CBA" w14:textId="1F0134C8" w:rsidR="006E2389" w:rsidRPr="00FA47C6" w:rsidRDefault="006E2389" w:rsidP="00967FDE">
            <w:pPr>
              <w:contextualSpacing/>
              <w:rPr>
                <w:rFonts w:ascii="Sylfaen" w:hAnsi="Sylfaen" w:cstheme="minorHAnsi"/>
                <w:sz w:val="20"/>
                <w:szCs w:val="20"/>
                <w:lang w:val="ka-GE"/>
              </w:rPr>
            </w:pPr>
            <w:r w:rsidRPr="00FA47C6">
              <w:rPr>
                <w:rFonts w:ascii="Sylfaen" w:hAnsi="Sylfaen" w:cstheme="minorHAnsi"/>
                <w:sz w:val="20"/>
                <w:szCs w:val="20"/>
                <w:lang w:val="ka-GE"/>
              </w:rPr>
              <w:t xml:space="preserve">1.4 საერთაშორისო კონსულტანტის </w:t>
            </w:r>
            <w:r w:rsidRPr="00FA47C6">
              <w:rPr>
                <w:rFonts w:ascii="Sylfaen" w:eastAsia="Times New Roman" w:hAnsi="Sylfaen" w:cstheme="minorHAnsi"/>
                <w:color w:val="000000"/>
                <w:sz w:val="20"/>
                <w:szCs w:val="20"/>
                <w:lang w:val="ka-GE"/>
              </w:rPr>
              <w:t>ტუბერკულოზის და ფილტვის დაავადებათა ეროვნული ცენტრის კონსილიუმში მონაწილეობა და რეზისტენტური ტუბერკულოზის ინდივიდუალური შემთხვევების განხილვა</w:t>
            </w:r>
            <w:r w:rsidRPr="00FA47C6">
              <w:rPr>
                <w:rFonts w:ascii="Sylfaen" w:hAnsi="Sylfaen" w:cstheme="minorHAnsi"/>
                <w:sz w:val="20"/>
                <w:szCs w:val="20"/>
                <w:lang w:val="ka-GE"/>
              </w:rPr>
              <w:t xml:space="preserve"> </w:t>
            </w:r>
          </w:p>
          <w:p w14:paraId="7B0F8523" w14:textId="77777777" w:rsidR="006E2389" w:rsidRPr="00FA47C6" w:rsidRDefault="006E2389" w:rsidP="007367DD">
            <w:pPr>
              <w:rPr>
                <w:rFonts w:ascii="Sylfaen" w:eastAsia="Times New Roman" w:hAnsi="Sylfaen" w:cstheme="minorHAnsi"/>
                <w:color w:val="000000"/>
                <w:sz w:val="20"/>
                <w:szCs w:val="20"/>
                <w:lang w:val="ka-GE"/>
              </w:rPr>
            </w:pPr>
          </w:p>
        </w:tc>
        <w:tc>
          <w:tcPr>
            <w:tcW w:w="1620" w:type="dxa"/>
            <w:vAlign w:val="center"/>
          </w:tcPr>
          <w:p w14:paraId="1D737C70" w14:textId="77777777" w:rsidR="006E2389" w:rsidRPr="00FA47C6" w:rsidRDefault="006E2389" w:rsidP="002D1E98">
            <w:pPr>
              <w:rPr>
                <w:rFonts w:ascii="Sylfaen" w:eastAsia="Times New Roman" w:hAnsi="Sylfaen" w:cstheme="minorHAnsi"/>
                <w:color w:val="000000"/>
                <w:sz w:val="20"/>
                <w:szCs w:val="20"/>
              </w:rPr>
            </w:pPr>
          </w:p>
        </w:tc>
        <w:tc>
          <w:tcPr>
            <w:tcW w:w="1620" w:type="dxa"/>
          </w:tcPr>
          <w:p w14:paraId="205B312D" w14:textId="77777777" w:rsidR="006E2389" w:rsidRPr="00FA47C6" w:rsidRDefault="006E2389" w:rsidP="006E2389">
            <w:pPr>
              <w:ind w:left="360"/>
              <w:rPr>
                <w:rFonts w:ascii="Sylfaen" w:eastAsia="Times New Roman" w:hAnsi="Sylfaen" w:cstheme="minorHAnsi"/>
                <w:color w:val="000000"/>
                <w:sz w:val="20"/>
                <w:szCs w:val="20"/>
                <w:lang w:val="ka-GE"/>
              </w:rPr>
            </w:pPr>
          </w:p>
        </w:tc>
        <w:tc>
          <w:tcPr>
            <w:tcW w:w="2610" w:type="dxa"/>
            <w:vAlign w:val="center"/>
          </w:tcPr>
          <w:p w14:paraId="72799DBD" w14:textId="20A62160" w:rsidR="006E2389" w:rsidRPr="00FA47C6" w:rsidRDefault="006E2389" w:rsidP="006E2389">
            <w:pPr>
              <w:ind w:left="360"/>
              <w:rPr>
                <w:rFonts w:ascii="Sylfaen" w:eastAsia="Times New Roman" w:hAnsi="Sylfaen" w:cstheme="minorHAnsi"/>
                <w:color w:val="000000"/>
                <w:sz w:val="20"/>
                <w:szCs w:val="20"/>
                <w:lang w:val="ka-GE"/>
              </w:rPr>
            </w:pPr>
            <w:r w:rsidRPr="00FA47C6">
              <w:rPr>
                <w:rFonts w:ascii="Sylfaen" w:eastAsia="Times New Roman" w:hAnsi="Sylfaen" w:cstheme="minorHAnsi"/>
                <w:color w:val="000000"/>
                <w:sz w:val="20"/>
                <w:szCs w:val="20"/>
                <w:lang w:val="ka-GE"/>
              </w:rPr>
              <w:t>კონსილიუმში მონაწილეობის ანგარიში</w:t>
            </w:r>
          </w:p>
        </w:tc>
      </w:tr>
      <w:tr w:rsidR="006E2389" w:rsidRPr="00FA47C6" w14:paraId="52C22F70" w14:textId="77777777" w:rsidTr="006E2389">
        <w:trPr>
          <w:trHeight w:val="800"/>
        </w:trPr>
        <w:tc>
          <w:tcPr>
            <w:tcW w:w="810" w:type="dxa"/>
            <w:vMerge/>
            <w:vAlign w:val="center"/>
          </w:tcPr>
          <w:p w14:paraId="69549882" w14:textId="77777777" w:rsidR="006E2389" w:rsidRPr="00FA47C6" w:rsidRDefault="006E2389" w:rsidP="002D1E98">
            <w:pPr>
              <w:jc w:val="center"/>
              <w:rPr>
                <w:rFonts w:ascii="Sylfaen" w:eastAsia="Times New Roman" w:hAnsi="Sylfaen" w:cstheme="minorHAnsi"/>
                <w:b/>
                <w:bCs/>
                <w:color w:val="000000"/>
                <w:sz w:val="20"/>
                <w:szCs w:val="20"/>
              </w:rPr>
            </w:pPr>
          </w:p>
        </w:tc>
        <w:tc>
          <w:tcPr>
            <w:tcW w:w="4140" w:type="dxa"/>
            <w:vAlign w:val="center"/>
          </w:tcPr>
          <w:p w14:paraId="6D6BAE8E" w14:textId="77777777" w:rsidR="006E2389" w:rsidRPr="00FA47C6" w:rsidRDefault="006E2389" w:rsidP="00967FDE">
            <w:pPr>
              <w:rPr>
                <w:rFonts w:ascii="Sylfaen" w:eastAsia="Times New Roman" w:hAnsi="Sylfaen" w:cstheme="minorHAnsi"/>
                <w:color w:val="000000"/>
                <w:sz w:val="20"/>
                <w:szCs w:val="20"/>
                <w:lang w:val="ka-GE"/>
              </w:rPr>
            </w:pPr>
            <w:r w:rsidRPr="00FA47C6">
              <w:rPr>
                <w:rFonts w:ascii="Sylfaen" w:eastAsia="Times New Roman" w:hAnsi="Sylfaen" w:cstheme="minorHAnsi"/>
                <w:color w:val="000000"/>
                <w:sz w:val="20"/>
                <w:szCs w:val="20"/>
              </w:rPr>
              <w:t>1.</w:t>
            </w:r>
            <w:r w:rsidRPr="00FA47C6">
              <w:rPr>
                <w:rFonts w:ascii="Sylfaen" w:eastAsia="Times New Roman" w:hAnsi="Sylfaen" w:cstheme="minorHAnsi"/>
                <w:color w:val="000000"/>
                <w:sz w:val="20"/>
                <w:szCs w:val="20"/>
                <w:lang w:val="ka-GE"/>
              </w:rPr>
              <w:t>5</w:t>
            </w:r>
            <w:r w:rsidRPr="00FA47C6">
              <w:rPr>
                <w:rFonts w:ascii="Sylfaen" w:eastAsia="Times New Roman" w:hAnsi="Sylfaen" w:cstheme="minorHAnsi"/>
                <w:color w:val="000000"/>
                <w:sz w:val="20"/>
                <w:szCs w:val="20"/>
              </w:rPr>
              <w:t xml:space="preserve"> </w:t>
            </w:r>
            <w:r w:rsidRPr="00FA47C6">
              <w:rPr>
                <w:rFonts w:ascii="Sylfaen" w:eastAsia="Times New Roman" w:hAnsi="Sylfaen" w:cstheme="minorHAnsi"/>
                <w:color w:val="000000"/>
                <w:sz w:val="20"/>
                <w:szCs w:val="20"/>
                <w:lang w:val="ka-GE"/>
              </w:rPr>
              <w:t>სამუშაო შეხვედრა</w:t>
            </w:r>
          </w:p>
        </w:tc>
        <w:tc>
          <w:tcPr>
            <w:tcW w:w="1620" w:type="dxa"/>
            <w:vAlign w:val="center"/>
          </w:tcPr>
          <w:p w14:paraId="57147D0A" w14:textId="77777777" w:rsidR="006E2389" w:rsidRPr="00FA47C6" w:rsidRDefault="006E2389" w:rsidP="002D1E98">
            <w:pPr>
              <w:rPr>
                <w:rFonts w:ascii="Sylfaen" w:eastAsia="Times New Roman" w:hAnsi="Sylfaen" w:cstheme="minorHAnsi"/>
                <w:color w:val="000000"/>
                <w:sz w:val="20"/>
                <w:szCs w:val="20"/>
              </w:rPr>
            </w:pPr>
          </w:p>
        </w:tc>
        <w:tc>
          <w:tcPr>
            <w:tcW w:w="1620" w:type="dxa"/>
          </w:tcPr>
          <w:p w14:paraId="1E3ED106" w14:textId="77777777" w:rsidR="006E2389" w:rsidRPr="00FA47C6" w:rsidRDefault="006E2389" w:rsidP="006E2389">
            <w:pPr>
              <w:ind w:left="360"/>
              <w:rPr>
                <w:rFonts w:ascii="Sylfaen" w:eastAsia="Times New Roman" w:hAnsi="Sylfaen" w:cstheme="minorHAnsi"/>
                <w:color w:val="000000"/>
                <w:sz w:val="20"/>
                <w:szCs w:val="20"/>
                <w:lang w:val="ka-GE"/>
              </w:rPr>
            </w:pPr>
          </w:p>
        </w:tc>
        <w:tc>
          <w:tcPr>
            <w:tcW w:w="2610" w:type="dxa"/>
            <w:vAlign w:val="center"/>
          </w:tcPr>
          <w:p w14:paraId="480DC16C" w14:textId="657A41E5" w:rsidR="006E2389" w:rsidRPr="00FA47C6" w:rsidRDefault="006E2389" w:rsidP="006E2389">
            <w:pPr>
              <w:ind w:left="360"/>
              <w:rPr>
                <w:rFonts w:ascii="Sylfaen" w:eastAsia="Times New Roman" w:hAnsi="Sylfaen" w:cstheme="minorHAnsi"/>
                <w:color w:val="000000"/>
                <w:sz w:val="20"/>
                <w:szCs w:val="20"/>
                <w:lang w:val="ka-GE"/>
              </w:rPr>
            </w:pPr>
            <w:r w:rsidRPr="00FA47C6">
              <w:rPr>
                <w:rFonts w:ascii="Sylfaen" w:eastAsia="Times New Roman" w:hAnsi="Sylfaen" w:cstheme="minorHAnsi"/>
                <w:color w:val="000000"/>
                <w:sz w:val="20"/>
                <w:szCs w:val="20"/>
                <w:lang w:val="ka-GE"/>
              </w:rPr>
              <w:t>სამუშაო შეხვედრის ანგარიში პრეზენტაციების და დამსწრეთა სიის ჩათვლით</w:t>
            </w:r>
          </w:p>
        </w:tc>
      </w:tr>
      <w:tr w:rsidR="006E2389" w:rsidRPr="00FA47C6" w14:paraId="0B51A3D1" w14:textId="77777777" w:rsidTr="006E2389">
        <w:trPr>
          <w:trHeight w:val="595"/>
        </w:trPr>
        <w:tc>
          <w:tcPr>
            <w:tcW w:w="810" w:type="dxa"/>
            <w:vMerge/>
            <w:shd w:val="clear" w:color="auto" w:fill="auto"/>
            <w:vAlign w:val="center"/>
            <w:hideMark/>
          </w:tcPr>
          <w:p w14:paraId="7EA2C868" w14:textId="77777777" w:rsidR="006E2389" w:rsidRPr="00FA47C6" w:rsidRDefault="006E2389" w:rsidP="002D1E98">
            <w:pPr>
              <w:jc w:val="center"/>
              <w:rPr>
                <w:rFonts w:ascii="Sylfaen" w:eastAsia="Times New Roman" w:hAnsi="Sylfaen" w:cstheme="minorHAnsi"/>
                <w:b/>
                <w:bCs/>
                <w:color w:val="000000"/>
                <w:sz w:val="20"/>
                <w:szCs w:val="20"/>
              </w:rPr>
            </w:pPr>
          </w:p>
        </w:tc>
        <w:tc>
          <w:tcPr>
            <w:tcW w:w="4140" w:type="dxa"/>
            <w:shd w:val="clear" w:color="auto" w:fill="auto"/>
          </w:tcPr>
          <w:p w14:paraId="45EF2D20" w14:textId="77777777" w:rsidR="006E2389" w:rsidRPr="00FA47C6" w:rsidRDefault="006E2389" w:rsidP="00F43D65">
            <w:pPr>
              <w:rPr>
                <w:rFonts w:ascii="Sylfaen" w:eastAsia="Times New Roman" w:hAnsi="Sylfaen" w:cstheme="minorHAnsi"/>
                <w:color w:val="000000"/>
                <w:sz w:val="20"/>
                <w:szCs w:val="20"/>
                <w:lang w:val="ka-GE"/>
              </w:rPr>
            </w:pPr>
            <w:r w:rsidRPr="00FA47C6">
              <w:rPr>
                <w:rFonts w:ascii="Sylfaen" w:eastAsia="Times New Roman" w:hAnsi="Sylfaen" w:cstheme="minorHAnsi"/>
                <w:color w:val="000000"/>
                <w:sz w:val="20"/>
                <w:szCs w:val="20"/>
                <w:lang w:val="ka-GE"/>
              </w:rPr>
              <w:t>ამოცანა2</w:t>
            </w:r>
          </w:p>
          <w:p w14:paraId="03A2FB79" w14:textId="77777777" w:rsidR="006E2389" w:rsidRPr="00FA47C6" w:rsidRDefault="006E2389" w:rsidP="00D47594">
            <w:pPr>
              <w:rPr>
                <w:rFonts w:ascii="Sylfaen" w:eastAsia="Times New Roman" w:hAnsi="Sylfaen" w:cstheme="minorHAnsi"/>
                <w:color w:val="000000"/>
                <w:sz w:val="20"/>
                <w:szCs w:val="20"/>
                <w:lang w:val="ka-GE"/>
              </w:rPr>
            </w:pPr>
          </w:p>
        </w:tc>
        <w:tc>
          <w:tcPr>
            <w:tcW w:w="1620" w:type="dxa"/>
            <w:shd w:val="clear" w:color="auto" w:fill="auto"/>
          </w:tcPr>
          <w:p w14:paraId="1E95F214" w14:textId="77777777" w:rsidR="006E2389" w:rsidRPr="00FA47C6" w:rsidRDefault="006E2389" w:rsidP="00853439">
            <w:pPr>
              <w:spacing w:after="240"/>
              <w:jc w:val="center"/>
              <w:rPr>
                <w:rFonts w:ascii="Sylfaen" w:eastAsia="Times New Roman" w:hAnsi="Sylfaen" w:cstheme="minorHAnsi"/>
                <w:color w:val="000000"/>
                <w:sz w:val="20"/>
                <w:szCs w:val="20"/>
              </w:rPr>
            </w:pPr>
          </w:p>
        </w:tc>
        <w:tc>
          <w:tcPr>
            <w:tcW w:w="1620" w:type="dxa"/>
          </w:tcPr>
          <w:p w14:paraId="05C7260A" w14:textId="77777777" w:rsidR="006E2389" w:rsidRPr="00FA47C6" w:rsidRDefault="006E2389" w:rsidP="006E2389">
            <w:pPr>
              <w:ind w:left="360"/>
              <w:rPr>
                <w:rFonts w:ascii="Sylfaen" w:hAnsi="Sylfaen" w:cstheme="minorHAnsi"/>
                <w:sz w:val="20"/>
                <w:szCs w:val="20"/>
                <w:lang w:val="ka-GE"/>
              </w:rPr>
            </w:pPr>
          </w:p>
        </w:tc>
        <w:tc>
          <w:tcPr>
            <w:tcW w:w="2610" w:type="dxa"/>
            <w:shd w:val="clear" w:color="auto" w:fill="auto"/>
          </w:tcPr>
          <w:p w14:paraId="7974A7AD" w14:textId="6AE59D0F" w:rsidR="006E2389" w:rsidRPr="00FA47C6" w:rsidRDefault="006E2389" w:rsidP="006E2389">
            <w:pPr>
              <w:ind w:left="360"/>
              <w:rPr>
                <w:rFonts w:ascii="Sylfaen" w:eastAsia="Times New Roman" w:hAnsi="Sylfaen" w:cstheme="minorHAnsi"/>
                <w:color w:val="000000"/>
                <w:sz w:val="20"/>
                <w:szCs w:val="20"/>
              </w:rPr>
            </w:pPr>
            <w:r w:rsidRPr="00FA47C6">
              <w:rPr>
                <w:rFonts w:ascii="Sylfaen" w:hAnsi="Sylfaen" w:cstheme="minorHAnsi"/>
                <w:sz w:val="20"/>
                <w:szCs w:val="20"/>
                <w:lang w:val="ka-GE"/>
              </w:rPr>
              <w:t>ხარისხის გაუმჯობესების დეტალური გეგმა</w:t>
            </w:r>
          </w:p>
        </w:tc>
      </w:tr>
      <w:tr w:rsidR="006E2389" w:rsidRPr="00FA47C6" w14:paraId="68D049C4" w14:textId="77777777" w:rsidTr="006E2389">
        <w:trPr>
          <w:trHeight w:val="595"/>
        </w:trPr>
        <w:tc>
          <w:tcPr>
            <w:tcW w:w="810" w:type="dxa"/>
            <w:vMerge/>
            <w:shd w:val="clear" w:color="auto" w:fill="auto"/>
            <w:vAlign w:val="center"/>
          </w:tcPr>
          <w:p w14:paraId="56064817" w14:textId="77777777" w:rsidR="006E2389" w:rsidRPr="00FA47C6" w:rsidRDefault="006E2389" w:rsidP="00F43D65">
            <w:pPr>
              <w:jc w:val="center"/>
              <w:rPr>
                <w:rFonts w:ascii="Sylfaen" w:eastAsia="Times New Roman" w:hAnsi="Sylfaen" w:cstheme="minorHAnsi"/>
                <w:b/>
                <w:bCs/>
                <w:color w:val="000000"/>
                <w:sz w:val="20"/>
                <w:szCs w:val="20"/>
              </w:rPr>
            </w:pPr>
          </w:p>
        </w:tc>
        <w:tc>
          <w:tcPr>
            <w:tcW w:w="4140" w:type="dxa"/>
            <w:shd w:val="clear" w:color="auto" w:fill="auto"/>
          </w:tcPr>
          <w:p w14:paraId="4A0878EA" w14:textId="77777777" w:rsidR="006E2389" w:rsidRPr="00FA47C6" w:rsidRDefault="006E2389" w:rsidP="00F43D65">
            <w:pPr>
              <w:rPr>
                <w:rFonts w:ascii="Sylfaen" w:eastAsia="Times New Roman" w:hAnsi="Sylfaen" w:cstheme="minorHAnsi"/>
                <w:color w:val="000000"/>
                <w:sz w:val="20"/>
                <w:szCs w:val="20"/>
                <w:lang w:val="ka-GE"/>
              </w:rPr>
            </w:pPr>
            <w:r w:rsidRPr="00FA47C6">
              <w:rPr>
                <w:rFonts w:ascii="Sylfaen" w:eastAsia="Times New Roman" w:hAnsi="Sylfaen" w:cstheme="minorHAnsi"/>
                <w:color w:val="000000"/>
                <w:sz w:val="20"/>
                <w:szCs w:val="20"/>
                <w:lang w:val="ka-GE"/>
              </w:rPr>
              <w:t xml:space="preserve">2.6 სერვისის ხარვეზების გამოვლენა და გაუმჯობესების გზების დასახვა </w:t>
            </w:r>
          </w:p>
          <w:p w14:paraId="42138BB0" w14:textId="77777777" w:rsidR="006E2389" w:rsidRPr="00FA47C6" w:rsidRDefault="006E2389" w:rsidP="00F43D65">
            <w:pPr>
              <w:rPr>
                <w:rFonts w:ascii="Sylfaen" w:eastAsia="Times New Roman" w:hAnsi="Sylfaen" w:cstheme="minorHAnsi"/>
                <w:color w:val="000000"/>
                <w:sz w:val="20"/>
                <w:szCs w:val="20"/>
                <w:lang w:val="ka-GE"/>
              </w:rPr>
            </w:pPr>
          </w:p>
        </w:tc>
        <w:tc>
          <w:tcPr>
            <w:tcW w:w="1620" w:type="dxa"/>
            <w:shd w:val="clear" w:color="auto" w:fill="auto"/>
          </w:tcPr>
          <w:p w14:paraId="02E2C13F" w14:textId="77777777" w:rsidR="006E2389" w:rsidRPr="00FA47C6" w:rsidRDefault="006E2389" w:rsidP="00F43D65">
            <w:pPr>
              <w:spacing w:after="240"/>
              <w:jc w:val="center"/>
              <w:rPr>
                <w:rFonts w:ascii="Sylfaen" w:eastAsia="Times New Roman" w:hAnsi="Sylfaen" w:cstheme="minorHAnsi"/>
                <w:color w:val="000000"/>
                <w:sz w:val="20"/>
                <w:szCs w:val="20"/>
              </w:rPr>
            </w:pPr>
            <w:r w:rsidRPr="00FA47C6">
              <w:rPr>
                <w:rFonts w:ascii="Sylfaen" w:eastAsia="Times New Roman" w:hAnsi="Sylfaen" w:cstheme="minorHAnsi"/>
                <w:color w:val="000000"/>
                <w:sz w:val="20"/>
                <w:szCs w:val="20"/>
              </w:rPr>
              <w:br/>
            </w:r>
          </w:p>
        </w:tc>
        <w:tc>
          <w:tcPr>
            <w:tcW w:w="1620" w:type="dxa"/>
          </w:tcPr>
          <w:p w14:paraId="7478A960" w14:textId="77777777" w:rsidR="006E2389" w:rsidRPr="00FA47C6" w:rsidRDefault="006E2389" w:rsidP="006E2389">
            <w:pPr>
              <w:ind w:left="360"/>
              <w:rPr>
                <w:rFonts w:ascii="Sylfaen" w:eastAsia="Times New Roman" w:hAnsi="Sylfaen" w:cstheme="minorHAnsi"/>
                <w:color w:val="000000"/>
                <w:sz w:val="20"/>
                <w:szCs w:val="20"/>
                <w:lang w:val="ka-GE"/>
              </w:rPr>
            </w:pPr>
          </w:p>
        </w:tc>
        <w:tc>
          <w:tcPr>
            <w:tcW w:w="2610" w:type="dxa"/>
            <w:shd w:val="clear" w:color="auto" w:fill="auto"/>
          </w:tcPr>
          <w:p w14:paraId="501C4D5A" w14:textId="440AFC2A" w:rsidR="006E2389" w:rsidRPr="00FA47C6" w:rsidRDefault="006E2389" w:rsidP="006E2389">
            <w:pPr>
              <w:ind w:left="360"/>
              <w:rPr>
                <w:rFonts w:ascii="Sylfaen" w:eastAsia="Times New Roman" w:hAnsi="Sylfaen" w:cstheme="minorHAnsi"/>
                <w:color w:val="000000"/>
                <w:sz w:val="20"/>
                <w:szCs w:val="20"/>
                <w:lang w:val="ka-GE"/>
              </w:rPr>
            </w:pPr>
            <w:r w:rsidRPr="00FA47C6">
              <w:rPr>
                <w:rFonts w:ascii="Sylfaen" w:eastAsia="Times New Roman" w:hAnsi="Sylfaen" w:cstheme="minorHAnsi"/>
                <w:color w:val="000000"/>
                <w:sz w:val="20"/>
                <w:szCs w:val="20"/>
                <w:lang w:val="ka-GE"/>
              </w:rPr>
              <w:t>ხარვეზების და გაუმჯობესების გზების ამსახველი ანგარიში</w:t>
            </w:r>
          </w:p>
        </w:tc>
      </w:tr>
      <w:tr w:rsidR="006E2389" w:rsidRPr="00FA47C6" w14:paraId="773D66FB" w14:textId="77777777" w:rsidTr="006E2389">
        <w:trPr>
          <w:trHeight w:val="595"/>
        </w:trPr>
        <w:tc>
          <w:tcPr>
            <w:tcW w:w="810" w:type="dxa"/>
            <w:vMerge/>
            <w:shd w:val="clear" w:color="auto" w:fill="auto"/>
            <w:vAlign w:val="center"/>
          </w:tcPr>
          <w:p w14:paraId="19AACD68" w14:textId="77777777" w:rsidR="006E2389" w:rsidRPr="00FA47C6" w:rsidRDefault="006E2389" w:rsidP="00F43D65">
            <w:pPr>
              <w:jc w:val="center"/>
              <w:rPr>
                <w:rFonts w:ascii="Sylfaen" w:eastAsia="Times New Roman" w:hAnsi="Sylfaen" w:cstheme="minorHAnsi"/>
                <w:b/>
                <w:bCs/>
                <w:color w:val="000000"/>
                <w:sz w:val="20"/>
                <w:szCs w:val="20"/>
              </w:rPr>
            </w:pPr>
          </w:p>
        </w:tc>
        <w:tc>
          <w:tcPr>
            <w:tcW w:w="4140" w:type="dxa"/>
            <w:shd w:val="clear" w:color="auto" w:fill="auto"/>
          </w:tcPr>
          <w:p w14:paraId="4896C328" w14:textId="77777777" w:rsidR="006E2389" w:rsidRPr="00FA47C6" w:rsidRDefault="006E2389" w:rsidP="00F43D65">
            <w:pPr>
              <w:rPr>
                <w:rFonts w:ascii="Sylfaen" w:eastAsia="Times New Roman" w:hAnsi="Sylfaen" w:cstheme="minorHAnsi"/>
                <w:color w:val="000000"/>
                <w:sz w:val="20"/>
                <w:szCs w:val="20"/>
                <w:lang w:val="ka-GE"/>
              </w:rPr>
            </w:pPr>
            <w:r w:rsidRPr="00FA47C6">
              <w:rPr>
                <w:rFonts w:ascii="Sylfaen" w:eastAsia="Times New Roman" w:hAnsi="Sylfaen" w:cstheme="minorHAnsi"/>
                <w:color w:val="000000"/>
                <w:sz w:val="20"/>
                <w:szCs w:val="20"/>
                <w:lang w:val="ka-GE"/>
              </w:rPr>
              <w:t>2.7 პერსონალის ტრენინგი და კორექციული ღონისძიებების</w:t>
            </w:r>
            <w:r w:rsidRPr="00FA47C6">
              <w:rPr>
                <w:rFonts w:ascii="Sylfaen" w:eastAsia="Times New Roman" w:hAnsi="Sylfaen" w:cstheme="minorHAnsi"/>
                <w:color w:val="000000"/>
                <w:sz w:val="20"/>
                <w:szCs w:val="20"/>
              </w:rPr>
              <w:t xml:space="preserve"> </w:t>
            </w:r>
            <w:r w:rsidRPr="00FA47C6">
              <w:rPr>
                <w:rFonts w:ascii="Sylfaen" w:eastAsia="Times New Roman" w:hAnsi="Sylfaen" w:cstheme="minorHAnsi"/>
                <w:color w:val="000000"/>
                <w:sz w:val="20"/>
                <w:szCs w:val="20"/>
                <w:lang w:val="ka-GE"/>
              </w:rPr>
              <w:t>გატარება</w:t>
            </w:r>
          </w:p>
          <w:p w14:paraId="5AC9AE18" w14:textId="77777777" w:rsidR="006E2389" w:rsidRPr="00FA47C6" w:rsidRDefault="006E2389" w:rsidP="00F43D65">
            <w:pPr>
              <w:rPr>
                <w:rFonts w:ascii="Sylfaen" w:eastAsia="Times New Roman" w:hAnsi="Sylfaen" w:cstheme="minorHAnsi"/>
                <w:color w:val="000000"/>
                <w:sz w:val="20"/>
                <w:szCs w:val="20"/>
                <w:lang w:val="ka-GE"/>
              </w:rPr>
            </w:pPr>
          </w:p>
        </w:tc>
        <w:tc>
          <w:tcPr>
            <w:tcW w:w="1620" w:type="dxa"/>
            <w:shd w:val="clear" w:color="auto" w:fill="auto"/>
          </w:tcPr>
          <w:p w14:paraId="0628C363" w14:textId="77777777" w:rsidR="006E2389" w:rsidRPr="00FA47C6" w:rsidRDefault="006E2389" w:rsidP="00F43D65">
            <w:pPr>
              <w:spacing w:after="240"/>
              <w:jc w:val="center"/>
              <w:rPr>
                <w:rFonts w:ascii="Sylfaen" w:eastAsia="Times New Roman" w:hAnsi="Sylfaen" w:cstheme="minorHAnsi"/>
                <w:color w:val="000000"/>
                <w:sz w:val="20"/>
                <w:szCs w:val="20"/>
              </w:rPr>
            </w:pPr>
          </w:p>
        </w:tc>
        <w:tc>
          <w:tcPr>
            <w:tcW w:w="1620" w:type="dxa"/>
          </w:tcPr>
          <w:p w14:paraId="23A973D7" w14:textId="77777777" w:rsidR="006E2389" w:rsidRPr="00FA47C6" w:rsidRDefault="006E2389" w:rsidP="006E2389">
            <w:pPr>
              <w:ind w:left="360"/>
              <w:rPr>
                <w:rFonts w:ascii="Sylfaen" w:eastAsia="Times New Roman" w:hAnsi="Sylfaen" w:cstheme="minorHAnsi"/>
                <w:color w:val="000000"/>
                <w:sz w:val="20"/>
                <w:szCs w:val="20"/>
                <w:lang w:val="ka-GE"/>
              </w:rPr>
            </w:pPr>
          </w:p>
        </w:tc>
        <w:tc>
          <w:tcPr>
            <w:tcW w:w="2610" w:type="dxa"/>
            <w:shd w:val="clear" w:color="auto" w:fill="auto"/>
          </w:tcPr>
          <w:p w14:paraId="64DC5952" w14:textId="5406CB13" w:rsidR="006E2389" w:rsidRPr="00FA47C6" w:rsidRDefault="006E2389" w:rsidP="006E2389">
            <w:pPr>
              <w:ind w:left="252"/>
              <w:rPr>
                <w:rFonts w:ascii="Sylfaen" w:eastAsia="Times New Roman" w:hAnsi="Sylfaen" w:cstheme="minorHAnsi"/>
                <w:color w:val="000000"/>
                <w:sz w:val="20"/>
                <w:szCs w:val="20"/>
              </w:rPr>
            </w:pPr>
            <w:r w:rsidRPr="00FA47C6">
              <w:rPr>
                <w:rFonts w:ascii="Sylfaen" w:eastAsia="Times New Roman" w:hAnsi="Sylfaen" w:cstheme="minorHAnsi"/>
                <w:color w:val="000000"/>
                <w:sz w:val="20"/>
                <w:szCs w:val="20"/>
                <w:lang w:val="ka-GE"/>
              </w:rPr>
              <w:t>ტრენინგის და გატარებული ღონისძიებების ანგარიში პრეზენტაციების, ოქმების და დამსწრეთა სიის ჩათვლით</w:t>
            </w:r>
          </w:p>
          <w:p w14:paraId="745B8D01" w14:textId="77777777" w:rsidR="006E2389" w:rsidRPr="00FA47C6" w:rsidRDefault="006E2389" w:rsidP="006E2389">
            <w:pPr>
              <w:ind w:left="252"/>
              <w:rPr>
                <w:rFonts w:ascii="Sylfaen" w:eastAsia="Times New Roman" w:hAnsi="Sylfaen" w:cstheme="minorHAnsi"/>
                <w:color w:val="000000"/>
                <w:sz w:val="20"/>
                <w:szCs w:val="20"/>
                <w:lang w:val="ka-GE"/>
              </w:rPr>
            </w:pPr>
          </w:p>
        </w:tc>
      </w:tr>
      <w:tr w:rsidR="006E2389" w:rsidRPr="00FA47C6" w14:paraId="2903C8EC" w14:textId="77777777" w:rsidTr="006E2389">
        <w:trPr>
          <w:trHeight w:val="595"/>
        </w:trPr>
        <w:tc>
          <w:tcPr>
            <w:tcW w:w="810" w:type="dxa"/>
            <w:vMerge/>
            <w:shd w:val="clear" w:color="auto" w:fill="auto"/>
            <w:vAlign w:val="center"/>
          </w:tcPr>
          <w:p w14:paraId="09A4A2B3" w14:textId="77777777" w:rsidR="006E2389" w:rsidRPr="00FA47C6" w:rsidRDefault="006E2389" w:rsidP="00F43D65">
            <w:pPr>
              <w:jc w:val="center"/>
              <w:rPr>
                <w:rFonts w:ascii="Sylfaen" w:eastAsia="Times New Roman" w:hAnsi="Sylfaen" w:cstheme="minorHAnsi"/>
                <w:b/>
                <w:bCs/>
                <w:color w:val="000000"/>
                <w:sz w:val="20"/>
                <w:szCs w:val="20"/>
              </w:rPr>
            </w:pPr>
          </w:p>
        </w:tc>
        <w:tc>
          <w:tcPr>
            <w:tcW w:w="4140" w:type="dxa"/>
            <w:shd w:val="clear" w:color="auto" w:fill="auto"/>
          </w:tcPr>
          <w:p w14:paraId="0C0255B8" w14:textId="77777777" w:rsidR="006E2389" w:rsidRPr="00FA47C6" w:rsidRDefault="006E2389" w:rsidP="00F43D65">
            <w:pPr>
              <w:rPr>
                <w:rFonts w:ascii="Sylfaen" w:eastAsia="Times New Roman" w:hAnsi="Sylfaen" w:cstheme="minorHAnsi"/>
                <w:color w:val="000000"/>
                <w:sz w:val="20"/>
                <w:szCs w:val="20"/>
                <w:lang w:val="ka-GE"/>
              </w:rPr>
            </w:pPr>
            <w:r w:rsidRPr="00FA47C6">
              <w:rPr>
                <w:rFonts w:ascii="Sylfaen" w:eastAsia="Times New Roman" w:hAnsi="Sylfaen" w:cstheme="minorHAnsi"/>
                <w:color w:val="000000"/>
                <w:sz w:val="20"/>
                <w:szCs w:val="20"/>
                <w:lang w:val="ka-GE"/>
              </w:rPr>
              <w:t xml:space="preserve">2.8 </w:t>
            </w:r>
            <w:r w:rsidRPr="00FA47C6">
              <w:rPr>
                <w:rFonts w:ascii="Sylfaen" w:hAnsi="Sylfaen" w:cstheme="minorHAnsi"/>
                <w:sz w:val="20"/>
                <w:szCs w:val="20"/>
                <w:lang w:val="ka-GE"/>
              </w:rPr>
              <w:t>ზოგადად ფუნქციონირების და კორექციისათვის გატარებული ქმედებების მონიტორინგი</w:t>
            </w:r>
          </w:p>
        </w:tc>
        <w:tc>
          <w:tcPr>
            <w:tcW w:w="1620" w:type="dxa"/>
            <w:shd w:val="clear" w:color="auto" w:fill="auto"/>
          </w:tcPr>
          <w:p w14:paraId="509F1928" w14:textId="77777777" w:rsidR="006E2389" w:rsidRPr="00FA47C6" w:rsidRDefault="006E2389" w:rsidP="00F43D65">
            <w:pPr>
              <w:spacing w:after="240"/>
              <w:jc w:val="center"/>
              <w:rPr>
                <w:rFonts w:ascii="Sylfaen" w:eastAsia="Times New Roman" w:hAnsi="Sylfaen" w:cstheme="minorHAnsi"/>
                <w:color w:val="000000"/>
                <w:sz w:val="20"/>
                <w:szCs w:val="20"/>
              </w:rPr>
            </w:pPr>
          </w:p>
        </w:tc>
        <w:tc>
          <w:tcPr>
            <w:tcW w:w="1620" w:type="dxa"/>
          </w:tcPr>
          <w:p w14:paraId="114DB5FF" w14:textId="77777777" w:rsidR="006E2389" w:rsidRPr="00FA47C6" w:rsidRDefault="006E2389" w:rsidP="006E2389">
            <w:pPr>
              <w:rPr>
                <w:rFonts w:ascii="Sylfaen" w:eastAsia="Times New Roman" w:hAnsi="Sylfaen" w:cstheme="minorHAnsi"/>
                <w:color w:val="000000"/>
                <w:sz w:val="20"/>
                <w:szCs w:val="20"/>
                <w:lang w:val="ka-GE"/>
              </w:rPr>
            </w:pPr>
          </w:p>
        </w:tc>
        <w:tc>
          <w:tcPr>
            <w:tcW w:w="2610" w:type="dxa"/>
            <w:shd w:val="clear" w:color="auto" w:fill="auto"/>
          </w:tcPr>
          <w:p w14:paraId="0294FEE8" w14:textId="36CDD413" w:rsidR="006E2389" w:rsidRPr="00FA47C6" w:rsidRDefault="006E2389" w:rsidP="006E2389">
            <w:pPr>
              <w:ind w:left="360"/>
              <w:rPr>
                <w:rFonts w:ascii="Sylfaen" w:eastAsia="Times New Roman" w:hAnsi="Sylfaen" w:cstheme="minorHAnsi"/>
                <w:color w:val="000000"/>
                <w:sz w:val="20"/>
                <w:szCs w:val="20"/>
                <w:lang w:val="ka-GE"/>
              </w:rPr>
            </w:pPr>
            <w:r w:rsidRPr="00FA47C6">
              <w:rPr>
                <w:rFonts w:ascii="Sylfaen" w:eastAsia="Times New Roman" w:hAnsi="Sylfaen" w:cstheme="minorHAnsi"/>
                <w:color w:val="000000"/>
                <w:sz w:val="20"/>
                <w:szCs w:val="20"/>
                <w:lang w:val="ka-GE"/>
              </w:rPr>
              <w:t>მონიტორინგის ანგარიში</w:t>
            </w:r>
          </w:p>
        </w:tc>
      </w:tr>
      <w:tr w:rsidR="006E2389" w:rsidRPr="00FA47C6" w14:paraId="691238FD" w14:textId="77777777" w:rsidTr="006E2389">
        <w:trPr>
          <w:trHeight w:val="595"/>
        </w:trPr>
        <w:tc>
          <w:tcPr>
            <w:tcW w:w="810" w:type="dxa"/>
            <w:vMerge/>
            <w:shd w:val="clear" w:color="auto" w:fill="auto"/>
            <w:vAlign w:val="center"/>
          </w:tcPr>
          <w:p w14:paraId="113FD9E2" w14:textId="77777777" w:rsidR="006E2389" w:rsidRPr="00FA47C6" w:rsidRDefault="006E2389" w:rsidP="00F43D65">
            <w:pPr>
              <w:jc w:val="center"/>
              <w:rPr>
                <w:rFonts w:ascii="Sylfaen" w:eastAsia="Times New Roman" w:hAnsi="Sylfaen" w:cstheme="minorHAnsi"/>
                <w:b/>
                <w:bCs/>
                <w:color w:val="000000"/>
                <w:sz w:val="20"/>
                <w:szCs w:val="20"/>
              </w:rPr>
            </w:pPr>
          </w:p>
        </w:tc>
        <w:tc>
          <w:tcPr>
            <w:tcW w:w="4140" w:type="dxa"/>
            <w:shd w:val="clear" w:color="auto" w:fill="auto"/>
          </w:tcPr>
          <w:p w14:paraId="59967CE8" w14:textId="77777777" w:rsidR="006E2389" w:rsidRPr="00FA47C6" w:rsidRDefault="006E2389" w:rsidP="00967FDE">
            <w:pPr>
              <w:rPr>
                <w:rFonts w:ascii="Sylfaen" w:eastAsia="Times New Roman" w:hAnsi="Sylfaen" w:cstheme="minorHAnsi"/>
                <w:color w:val="000000"/>
                <w:sz w:val="20"/>
                <w:szCs w:val="20"/>
                <w:lang w:val="ka-GE"/>
              </w:rPr>
            </w:pPr>
            <w:r w:rsidRPr="00FA47C6">
              <w:rPr>
                <w:rFonts w:ascii="Sylfaen" w:eastAsia="Times New Roman" w:hAnsi="Sylfaen" w:cstheme="minorHAnsi"/>
                <w:color w:val="000000"/>
                <w:sz w:val="20"/>
                <w:szCs w:val="20"/>
                <w:lang w:val="ka-GE"/>
              </w:rPr>
              <w:t>2.9  შედეგების შეფასება და პრეზენტაცია</w:t>
            </w:r>
          </w:p>
        </w:tc>
        <w:tc>
          <w:tcPr>
            <w:tcW w:w="1620" w:type="dxa"/>
            <w:shd w:val="clear" w:color="auto" w:fill="auto"/>
          </w:tcPr>
          <w:p w14:paraId="7D42A6E5" w14:textId="77777777" w:rsidR="006E2389" w:rsidRPr="00FA47C6" w:rsidRDefault="006E2389" w:rsidP="00F43D65">
            <w:pPr>
              <w:spacing w:after="240"/>
              <w:jc w:val="center"/>
              <w:rPr>
                <w:rFonts w:ascii="Sylfaen" w:eastAsia="Times New Roman" w:hAnsi="Sylfaen" w:cstheme="minorHAnsi"/>
                <w:color w:val="000000"/>
                <w:sz w:val="20"/>
                <w:szCs w:val="20"/>
              </w:rPr>
            </w:pPr>
          </w:p>
        </w:tc>
        <w:tc>
          <w:tcPr>
            <w:tcW w:w="1620" w:type="dxa"/>
          </w:tcPr>
          <w:p w14:paraId="0AC52B27" w14:textId="77777777" w:rsidR="006E2389" w:rsidRPr="00FA47C6" w:rsidRDefault="006E2389" w:rsidP="006E2389">
            <w:pPr>
              <w:ind w:left="360"/>
              <w:rPr>
                <w:rFonts w:ascii="Sylfaen" w:eastAsia="Times New Roman" w:hAnsi="Sylfaen" w:cstheme="minorHAnsi"/>
                <w:color w:val="000000"/>
                <w:sz w:val="20"/>
                <w:szCs w:val="20"/>
                <w:lang w:val="ka-GE"/>
              </w:rPr>
            </w:pPr>
          </w:p>
        </w:tc>
        <w:tc>
          <w:tcPr>
            <w:tcW w:w="2610" w:type="dxa"/>
            <w:shd w:val="clear" w:color="auto" w:fill="auto"/>
          </w:tcPr>
          <w:p w14:paraId="01099E80" w14:textId="6D4BA9FC" w:rsidR="006E2389" w:rsidRPr="00FA47C6" w:rsidRDefault="006E2389" w:rsidP="006E2389">
            <w:pPr>
              <w:ind w:left="360"/>
              <w:rPr>
                <w:rFonts w:ascii="Sylfaen" w:eastAsia="Times New Roman" w:hAnsi="Sylfaen" w:cstheme="minorHAnsi"/>
                <w:color w:val="000000"/>
                <w:sz w:val="20"/>
                <w:szCs w:val="20"/>
                <w:lang w:val="ka-GE"/>
              </w:rPr>
            </w:pPr>
            <w:r w:rsidRPr="00FA47C6">
              <w:rPr>
                <w:rFonts w:ascii="Sylfaen" w:eastAsia="Times New Roman" w:hAnsi="Sylfaen" w:cstheme="minorHAnsi"/>
                <w:color w:val="000000"/>
                <w:sz w:val="20"/>
                <w:szCs w:val="20"/>
                <w:lang w:val="ka-GE"/>
              </w:rPr>
              <w:t>შეფასების ანგარიში და პრეზენტაციის მასალები</w:t>
            </w:r>
          </w:p>
        </w:tc>
      </w:tr>
      <w:tr w:rsidR="006E2389" w:rsidRPr="00FA47C6" w14:paraId="5BECA5DB" w14:textId="77777777" w:rsidTr="006E2389">
        <w:trPr>
          <w:trHeight w:val="595"/>
        </w:trPr>
        <w:tc>
          <w:tcPr>
            <w:tcW w:w="810" w:type="dxa"/>
            <w:shd w:val="clear" w:color="auto" w:fill="auto"/>
            <w:vAlign w:val="center"/>
          </w:tcPr>
          <w:p w14:paraId="5934F0CE" w14:textId="77777777" w:rsidR="006E2389" w:rsidRPr="00FA47C6" w:rsidRDefault="006E2389" w:rsidP="00F43D65">
            <w:pPr>
              <w:jc w:val="center"/>
              <w:rPr>
                <w:rFonts w:ascii="Sylfaen" w:eastAsia="Times New Roman" w:hAnsi="Sylfaen" w:cstheme="minorHAnsi"/>
                <w:b/>
                <w:bCs/>
                <w:color w:val="000000"/>
                <w:sz w:val="20"/>
                <w:szCs w:val="20"/>
              </w:rPr>
            </w:pPr>
          </w:p>
        </w:tc>
        <w:tc>
          <w:tcPr>
            <w:tcW w:w="4140" w:type="dxa"/>
            <w:shd w:val="clear" w:color="auto" w:fill="auto"/>
          </w:tcPr>
          <w:p w14:paraId="5F06E500" w14:textId="77777777" w:rsidR="006E2389" w:rsidRPr="00FA47C6" w:rsidRDefault="006E2389" w:rsidP="00967FDE">
            <w:pPr>
              <w:rPr>
                <w:rFonts w:ascii="Sylfaen" w:eastAsia="Times New Roman" w:hAnsi="Sylfaen" w:cstheme="minorHAnsi"/>
                <w:color w:val="000000"/>
                <w:sz w:val="20"/>
                <w:szCs w:val="20"/>
                <w:lang w:val="ka-GE"/>
              </w:rPr>
            </w:pPr>
          </w:p>
        </w:tc>
        <w:tc>
          <w:tcPr>
            <w:tcW w:w="1620" w:type="dxa"/>
            <w:shd w:val="clear" w:color="auto" w:fill="auto"/>
          </w:tcPr>
          <w:p w14:paraId="268C2CDC" w14:textId="77777777" w:rsidR="006E2389" w:rsidRPr="00FA47C6" w:rsidRDefault="006E2389" w:rsidP="00F43D65">
            <w:pPr>
              <w:spacing w:after="240"/>
              <w:jc w:val="center"/>
              <w:rPr>
                <w:rFonts w:ascii="Sylfaen" w:eastAsia="Times New Roman" w:hAnsi="Sylfaen" w:cstheme="minorHAnsi"/>
                <w:color w:val="000000"/>
                <w:sz w:val="20"/>
                <w:szCs w:val="20"/>
              </w:rPr>
            </w:pPr>
          </w:p>
        </w:tc>
        <w:tc>
          <w:tcPr>
            <w:tcW w:w="1620" w:type="dxa"/>
          </w:tcPr>
          <w:p w14:paraId="6AA1B110" w14:textId="77777777" w:rsidR="006E2389" w:rsidRPr="00FA47C6" w:rsidRDefault="006E2389" w:rsidP="006E2389">
            <w:pPr>
              <w:ind w:left="360"/>
              <w:rPr>
                <w:rFonts w:ascii="Sylfaen" w:eastAsia="Times New Roman" w:hAnsi="Sylfaen" w:cstheme="minorHAnsi"/>
                <w:color w:val="000000"/>
                <w:sz w:val="20"/>
                <w:szCs w:val="20"/>
                <w:lang w:val="ka-GE"/>
              </w:rPr>
            </w:pPr>
          </w:p>
        </w:tc>
        <w:tc>
          <w:tcPr>
            <w:tcW w:w="2610" w:type="dxa"/>
            <w:shd w:val="clear" w:color="auto" w:fill="auto"/>
          </w:tcPr>
          <w:p w14:paraId="5812950B" w14:textId="77777777" w:rsidR="006E2389" w:rsidRPr="00FA47C6" w:rsidRDefault="006E2389" w:rsidP="006E2389">
            <w:pPr>
              <w:ind w:left="360"/>
              <w:rPr>
                <w:rFonts w:ascii="Sylfaen" w:eastAsia="Times New Roman" w:hAnsi="Sylfaen" w:cstheme="minorHAnsi"/>
                <w:color w:val="000000"/>
                <w:sz w:val="20"/>
                <w:szCs w:val="20"/>
                <w:lang w:val="ka-GE"/>
              </w:rPr>
            </w:pPr>
          </w:p>
        </w:tc>
      </w:tr>
    </w:tbl>
    <w:p w14:paraId="02827C55" w14:textId="77777777" w:rsidR="006E2389" w:rsidRPr="00FA47C6" w:rsidRDefault="006E2389" w:rsidP="006E2389">
      <w:pPr>
        <w:spacing w:line="276" w:lineRule="auto"/>
        <w:jc w:val="center"/>
        <w:rPr>
          <w:rFonts w:ascii="Sylfaen" w:hAnsi="Sylfaen" w:cstheme="minorHAnsi"/>
          <w:b/>
          <w:iCs/>
          <w:sz w:val="20"/>
          <w:szCs w:val="20"/>
        </w:rPr>
      </w:pPr>
    </w:p>
    <w:p w14:paraId="04E6E5A8" w14:textId="77777777" w:rsidR="006E2389" w:rsidRPr="004118F8" w:rsidRDefault="006E2389" w:rsidP="006E2389">
      <w:pPr>
        <w:autoSpaceDE w:val="0"/>
        <w:autoSpaceDN w:val="0"/>
        <w:adjustRightInd w:val="0"/>
        <w:ind w:left="-360"/>
        <w:rPr>
          <w:rFonts w:ascii="Sylfaen" w:hAnsi="Sylfaen" w:cs="Sylfaen"/>
          <w:b/>
          <w:color w:val="000000"/>
          <w:sz w:val="20"/>
          <w:szCs w:val="20"/>
        </w:rPr>
      </w:pPr>
      <w:r w:rsidRPr="004118F8">
        <w:rPr>
          <w:rFonts w:ascii="Sylfaen" w:hAnsi="Sylfaen" w:cs="Sylfaen"/>
          <w:b/>
          <w:color w:val="000000"/>
          <w:sz w:val="20"/>
          <w:szCs w:val="20"/>
        </w:rPr>
        <w:t xml:space="preserve">შენიშვნა: </w:t>
      </w:r>
    </w:p>
    <w:p w14:paraId="2D001694" w14:textId="77777777" w:rsidR="006E2389" w:rsidRPr="00FA47C6" w:rsidRDefault="006E2389" w:rsidP="006E2389">
      <w:pPr>
        <w:autoSpaceDE w:val="0"/>
        <w:autoSpaceDN w:val="0"/>
        <w:adjustRightInd w:val="0"/>
        <w:ind w:left="-360"/>
        <w:rPr>
          <w:rFonts w:ascii="Sylfaen" w:hAnsi="Sylfaen" w:cs="Sylfaen"/>
          <w:color w:val="000000"/>
          <w:sz w:val="20"/>
          <w:szCs w:val="20"/>
        </w:rPr>
      </w:pPr>
    </w:p>
    <w:p w14:paraId="290506A5" w14:textId="77777777" w:rsidR="006E2389" w:rsidRPr="00FA47C6" w:rsidRDefault="006E2389" w:rsidP="006E2389">
      <w:pPr>
        <w:autoSpaceDE w:val="0"/>
        <w:autoSpaceDN w:val="0"/>
        <w:adjustRightInd w:val="0"/>
        <w:ind w:left="-360"/>
        <w:jc w:val="both"/>
        <w:rPr>
          <w:rFonts w:ascii="Sylfaen" w:hAnsi="Sylfaen" w:cs="Sylfaen"/>
          <w:color w:val="000000"/>
          <w:sz w:val="20"/>
          <w:szCs w:val="20"/>
        </w:rPr>
      </w:pPr>
      <w:r w:rsidRPr="00FA47C6">
        <w:rPr>
          <w:rFonts w:ascii="Sylfaen" w:hAnsi="Sylfaen" w:cs="Sylfaen"/>
          <w:color w:val="000000"/>
          <w:sz w:val="20"/>
          <w:szCs w:val="20"/>
        </w:rPr>
        <w:t>1. ერთეულის ფასი უნდა მოიცავდეს მომსახურების მიწოდებასთან დაკავშირებულ ყველა ხარჯსა და კანონმდებლობით გათვალისწინებულ გადასახადებს, გარდა დამა</w:t>
      </w:r>
      <w:bookmarkStart w:id="0" w:name="_GoBack"/>
      <w:r w:rsidRPr="00FA47C6">
        <w:rPr>
          <w:rFonts w:ascii="Sylfaen" w:hAnsi="Sylfaen" w:cs="Sylfaen"/>
          <w:color w:val="000000"/>
          <w:sz w:val="20"/>
          <w:szCs w:val="20"/>
        </w:rPr>
        <w:t>ტ</w:t>
      </w:r>
      <w:bookmarkEnd w:id="0"/>
      <w:r w:rsidRPr="00FA47C6">
        <w:rPr>
          <w:rFonts w:ascii="Sylfaen" w:hAnsi="Sylfaen" w:cs="Sylfaen"/>
          <w:color w:val="000000"/>
          <w:sz w:val="20"/>
          <w:szCs w:val="20"/>
        </w:rPr>
        <w:t xml:space="preserve">ებული ღირებულების გადასახადისა. </w:t>
      </w:r>
      <w:r w:rsidRPr="00FA47C6">
        <w:rPr>
          <w:rFonts w:ascii="Sylfaen" w:hAnsi="Sylfaen" w:cs="Sylfaen"/>
          <w:color w:val="000000"/>
          <w:sz w:val="20"/>
          <w:szCs w:val="20"/>
        </w:rPr>
        <w:lastRenderedPageBreak/>
        <w:t xml:space="preserve">სხვა ხარჯები, რომლებიც ღირებულებაში არ იქნება გათვალისწინებული, არ დაექვემდებარება ანაზღაურებას; </w:t>
      </w:r>
    </w:p>
    <w:p w14:paraId="40DCACA7" w14:textId="77777777" w:rsidR="006E2389" w:rsidRPr="00FA47C6" w:rsidRDefault="006E2389" w:rsidP="006E2389">
      <w:pPr>
        <w:autoSpaceDE w:val="0"/>
        <w:autoSpaceDN w:val="0"/>
        <w:adjustRightInd w:val="0"/>
        <w:ind w:left="-360"/>
        <w:jc w:val="both"/>
        <w:rPr>
          <w:rFonts w:ascii="Sylfaen" w:hAnsi="Sylfaen" w:cs="Sylfaen"/>
          <w:color w:val="000000"/>
          <w:sz w:val="20"/>
          <w:szCs w:val="20"/>
        </w:rPr>
      </w:pPr>
    </w:p>
    <w:p w14:paraId="6CD84BCC" w14:textId="3AAC5063" w:rsidR="006E2389" w:rsidRPr="00FA47C6" w:rsidRDefault="006E2389" w:rsidP="006E2389">
      <w:pPr>
        <w:autoSpaceDE w:val="0"/>
        <w:autoSpaceDN w:val="0"/>
        <w:adjustRightInd w:val="0"/>
        <w:ind w:left="-360"/>
        <w:jc w:val="both"/>
        <w:rPr>
          <w:rFonts w:ascii="Sylfaen" w:hAnsi="Sylfaen" w:cs="Sylfaen"/>
          <w:color w:val="000000"/>
          <w:sz w:val="20"/>
          <w:szCs w:val="20"/>
        </w:rPr>
      </w:pPr>
      <w:r w:rsidRPr="00FA47C6">
        <w:rPr>
          <w:rFonts w:ascii="Sylfaen" w:hAnsi="Sylfaen" w:cs="Sylfaen"/>
          <w:color w:val="000000"/>
          <w:sz w:val="20"/>
          <w:szCs w:val="20"/>
        </w:rPr>
        <w:t>2. ხელშეკრულების დადების მომენტისთვის, შემსყიდველი ორგანიზაცი</w:t>
      </w:r>
      <w:r w:rsidR="0037584A">
        <w:rPr>
          <w:rFonts w:ascii="Sylfaen" w:hAnsi="Sylfaen" w:cs="Sylfaen"/>
          <w:color w:val="000000"/>
          <w:sz w:val="20"/>
          <w:szCs w:val="20"/>
          <w:lang w:val="ka-GE"/>
        </w:rPr>
        <w:t>ა, საჭიროების</w:t>
      </w:r>
      <w:r w:rsidR="0037584A">
        <w:rPr>
          <w:rFonts w:ascii="Sylfaen" w:hAnsi="Sylfaen" w:cs="Sylfaen"/>
          <w:color w:val="000000"/>
          <w:sz w:val="20"/>
          <w:szCs w:val="20"/>
        </w:rPr>
        <w:t xml:space="preserve"> </w:t>
      </w:r>
      <w:r w:rsidR="0037584A">
        <w:rPr>
          <w:rFonts w:ascii="Sylfaen" w:hAnsi="Sylfaen" w:cs="Sylfaen"/>
          <w:color w:val="000000"/>
          <w:sz w:val="20"/>
          <w:szCs w:val="20"/>
          <w:lang w:val="ka-GE"/>
        </w:rPr>
        <w:t>შემთხვევაში,</w:t>
      </w:r>
      <w:r w:rsidRPr="00FA47C6">
        <w:rPr>
          <w:rFonts w:ascii="Sylfaen" w:hAnsi="Sylfaen" w:cs="Sylfaen"/>
          <w:color w:val="000000"/>
          <w:sz w:val="20"/>
          <w:szCs w:val="20"/>
        </w:rPr>
        <w:t xml:space="preserve"> ხელშეკრულების ღირებულებაში გაითვალისწინებს შესაბამისი დღგ-ის ოდენობას, მოქმედი კანონმდებლობის შესაბამისად; </w:t>
      </w:r>
    </w:p>
    <w:p w14:paraId="40E0B5BD" w14:textId="77777777" w:rsidR="006E2389" w:rsidRPr="00FA47C6" w:rsidRDefault="006E2389" w:rsidP="006E2389">
      <w:pPr>
        <w:autoSpaceDE w:val="0"/>
        <w:autoSpaceDN w:val="0"/>
        <w:adjustRightInd w:val="0"/>
        <w:ind w:left="-360"/>
        <w:jc w:val="both"/>
        <w:rPr>
          <w:rFonts w:ascii="Sylfaen" w:hAnsi="Sylfaen" w:cs="Sylfaen"/>
          <w:color w:val="000000"/>
          <w:sz w:val="20"/>
          <w:szCs w:val="20"/>
        </w:rPr>
      </w:pPr>
    </w:p>
    <w:p w14:paraId="07A8EB68" w14:textId="77777777" w:rsidR="006E2389" w:rsidRPr="00FA47C6" w:rsidRDefault="006E2389" w:rsidP="006E2389">
      <w:pPr>
        <w:autoSpaceDE w:val="0"/>
        <w:autoSpaceDN w:val="0"/>
        <w:adjustRightInd w:val="0"/>
        <w:ind w:left="-360"/>
        <w:jc w:val="both"/>
        <w:rPr>
          <w:rFonts w:ascii="Sylfaen" w:hAnsi="Sylfaen" w:cs="Sylfaen"/>
          <w:color w:val="000000"/>
          <w:sz w:val="20"/>
          <w:szCs w:val="20"/>
        </w:rPr>
      </w:pPr>
      <w:r w:rsidRPr="00FA47C6">
        <w:rPr>
          <w:rFonts w:ascii="Sylfaen" w:hAnsi="Sylfaen" w:cs="Sylfaen"/>
          <w:color w:val="000000"/>
          <w:sz w:val="20"/>
          <w:szCs w:val="20"/>
        </w:rPr>
        <w:t xml:space="preserve">3. განფასება უნდა განხორციელდეს აქტივობების მიხედვით; </w:t>
      </w:r>
    </w:p>
    <w:p w14:paraId="765B9CCA" w14:textId="77777777" w:rsidR="006E2389" w:rsidRPr="00FA47C6" w:rsidRDefault="006E2389" w:rsidP="006E2389">
      <w:pPr>
        <w:autoSpaceDE w:val="0"/>
        <w:autoSpaceDN w:val="0"/>
        <w:adjustRightInd w:val="0"/>
        <w:ind w:left="-360"/>
        <w:jc w:val="both"/>
        <w:rPr>
          <w:rFonts w:ascii="Sylfaen" w:hAnsi="Sylfaen" w:cs="Sylfaen"/>
          <w:color w:val="000000"/>
          <w:sz w:val="20"/>
          <w:szCs w:val="20"/>
        </w:rPr>
      </w:pPr>
    </w:p>
    <w:p w14:paraId="339AF170" w14:textId="77777777" w:rsidR="006E2389" w:rsidRPr="00FA47C6" w:rsidRDefault="006E2389" w:rsidP="006E2389">
      <w:pPr>
        <w:autoSpaceDE w:val="0"/>
        <w:autoSpaceDN w:val="0"/>
        <w:adjustRightInd w:val="0"/>
        <w:ind w:left="-360"/>
        <w:jc w:val="both"/>
        <w:rPr>
          <w:rFonts w:ascii="Sylfaen" w:hAnsi="Sylfaen" w:cs="Sylfaen"/>
          <w:color w:val="000000"/>
          <w:sz w:val="20"/>
          <w:szCs w:val="20"/>
        </w:rPr>
      </w:pPr>
      <w:r w:rsidRPr="00FA47C6">
        <w:rPr>
          <w:rFonts w:ascii="Sylfaen" w:hAnsi="Sylfaen" w:cs="Sylfaen"/>
          <w:color w:val="000000"/>
          <w:sz w:val="20"/>
          <w:szCs w:val="20"/>
          <w:lang w:val="ka-GE"/>
        </w:rPr>
        <w:t xml:space="preserve">4. შეხვედრებისა და </w:t>
      </w:r>
      <w:r w:rsidRPr="00FA47C6">
        <w:rPr>
          <w:rFonts w:ascii="Sylfaen" w:hAnsi="Sylfaen" w:cs="Sylfaen"/>
          <w:color w:val="000000"/>
          <w:sz w:val="20"/>
          <w:szCs w:val="20"/>
        </w:rPr>
        <w:t xml:space="preserve">ტრენინგის ჩატარებისას დაცული უნდა იყოს „იზოლაციისა და კარანტინის წესების დამტკიცების შესახებ“ საქართველოს მთავრობის 2020 წლის 23 მაისის No322 დადგენილებით განსაზღვრული მოთხოვნები. </w:t>
      </w:r>
    </w:p>
    <w:p w14:paraId="5A2D197F" w14:textId="77777777" w:rsidR="006E2389" w:rsidRPr="00FA47C6" w:rsidRDefault="006E2389" w:rsidP="006E2389">
      <w:pPr>
        <w:autoSpaceDE w:val="0"/>
        <w:autoSpaceDN w:val="0"/>
        <w:adjustRightInd w:val="0"/>
        <w:ind w:left="-360"/>
        <w:jc w:val="both"/>
        <w:rPr>
          <w:rFonts w:ascii="Sylfaen" w:hAnsi="Sylfaen" w:cs="Sylfaen"/>
          <w:color w:val="000000"/>
          <w:sz w:val="20"/>
          <w:szCs w:val="20"/>
        </w:rPr>
      </w:pPr>
    </w:p>
    <w:p w14:paraId="62E88259" w14:textId="77777777" w:rsidR="006E2389" w:rsidRPr="00FA47C6" w:rsidRDefault="006E2389" w:rsidP="006E2389">
      <w:pPr>
        <w:spacing w:line="276" w:lineRule="auto"/>
        <w:jc w:val="both"/>
        <w:rPr>
          <w:rFonts w:ascii="Sylfaen" w:hAnsi="Sylfaen" w:cstheme="minorHAnsi"/>
          <w:b/>
          <w:iCs/>
          <w:sz w:val="20"/>
          <w:szCs w:val="20"/>
        </w:rPr>
      </w:pPr>
    </w:p>
    <w:p w14:paraId="24EB174B" w14:textId="06AE23BA" w:rsidR="0089541B" w:rsidRPr="00FA47C6" w:rsidRDefault="00FA47C6" w:rsidP="00FA47C6">
      <w:pPr>
        <w:spacing w:before="120" w:after="120"/>
        <w:ind w:left="-540"/>
        <w:jc w:val="both"/>
        <w:rPr>
          <w:rFonts w:ascii="Sylfaen" w:hAnsi="Sylfaen" w:cstheme="minorHAnsi"/>
          <w:sz w:val="20"/>
          <w:szCs w:val="20"/>
          <w:lang w:val="ka-GE"/>
        </w:rPr>
      </w:pPr>
      <w:r>
        <w:rPr>
          <w:rFonts w:ascii="Sylfaen" w:hAnsi="Sylfaen" w:cstheme="minorHAnsi"/>
          <w:b/>
          <w:sz w:val="20"/>
          <w:szCs w:val="20"/>
          <w:lang w:val="ka-GE"/>
        </w:rPr>
        <w:t>დ</w:t>
      </w:r>
      <w:r w:rsidR="0089541B" w:rsidRPr="00FA47C6">
        <w:rPr>
          <w:rFonts w:ascii="Sylfaen" w:hAnsi="Sylfaen" w:cstheme="minorHAnsi"/>
          <w:b/>
          <w:sz w:val="20"/>
          <w:szCs w:val="20"/>
          <w:lang w:val="ka-GE"/>
        </w:rPr>
        <w:t>აინტერესებული ორგანიზაციების მიმართ განსაზღვრული მოთხოვნები:</w:t>
      </w:r>
    </w:p>
    <w:p w14:paraId="69E96F03" w14:textId="77777777" w:rsidR="004A5C39" w:rsidRPr="00FA47C6" w:rsidRDefault="004A5C39" w:rsidP="00FA47C6">
      <w:pPr>
        <w:spacing w:before="120" w:after="120"/>
        <w:ind w:left="-540"/>
        <w:jc w:val="both"/>
        <w:rPr>
          <w:rFonts w:ascii="Sylfaen" w:hAnsi="Sylfaen" w:cstheme="minorHAnsi"/>
          <w:b/>
          <w:sz w:val="20"/>
          <w:szCs w:val="20"/>
          <w:lang w:val="ka-GE"/>
        </w:rPr>
      </w:pPr>
      <w:r w:rsidRPr="00FA47C6">
        <w:rPr>
          <w:rFonts w:ascii="Sylfaen" w:hAnsi="Sylfaen" w:cstheme="minorHAnsi"/>
          <w:b/>
          <w:sz w:val="20"/>
          <w:szCs w:val="20"/>
          <w:lang w:val="ka-GE"/>
        </w:rPr>
        <w:t>ორგანიზაციული გამოცდილება:</w:t>
      </w:r>
    </w:p>
    <w:p w14:paraId="3B54ACF8" w14:textId="77777777" w:rsidR="0089541B" w:rsidRPr="00FA47C6" w:rsidRDefault="0089541B" w:rsidP="00FA47C6">
      <w:pPr>
        <w:spacing w:before="120" w:after="120"/>
        <w:ind w:left="-540"/>
        <w:jc w:val="both"/>
        <w:rPr>
          <w:rFonts w:ascii="Sylfaen" w:hAnsi="Sylfaen" w:cstheme="minorHAnsi"/>
          <w:sz w:val="20"/>
          <w:szCs w:val="20"/>
          <w:lang w:val="ka-GE"/>
        </w:rPr>
      </w:pPr>
      <w:r w:rsidRPr="00FA47C6">
        <w:rPr>
          <w:rFonts w:ascii="Sylfaen" w:hAnsi="Sylfaen" w:cstheme="minorHAnsi"/>
          <w:sz w:val="20"/>
          <w:szCs w:val="20"/>
          <w:lang w:val="ka-GE"/>
        </w:rPr>
        <w:t>ორგანიზაციას უნდა ჰქონდეს ტუბერკულოზის სფეროში მსგავსი ღონისძიებების (ტუბერკულოზის მართვის გაიდლაინების შემუშავების და სამედიცინო პერსონალის ტრენინგის) განხორციელების გამოცდილება;</w:t>
      </w:r>
    </w:p>
    <w:p w14:paraId="3A7C68A1" w14:textId="77777777" w:rsidR="004A5C39" w:rsidRPr="00FA47C6" w:rsidRDefault="004A5C39" w:rsidP="00FA47C6">
      <w:pPr>
        <w:spacing w:before="120" w:after="120"/>
        <w:ind w:left="-540"/>
        <w:jc w:val="both"/>
        <w:rPr>
          <w:rFonts w:ascii="Sylfaen" w:hAnsi="Sylfaen" w:cstheme="minorHAnsi"/>
          <w:sz w:val="20"/>
          <w:szCs w:val="20"/>
          <w:lang w:val="ka-GE"/>
        </w:rPr>
      </w:pPr>
      <w:r w:rsidRPr="00FA47C6">
        <w:rPr>
          <w:rFonts w:ascii="Sylfaen" w:hAnsi="Sylfaen" w:cstheme="minorHAnsi"/>
          <w:sz w:val="20"/>
          <w:szCs w:val="20"/>
          <w:lang w:val="ka-GE"/>
        </w:rPr>
        <w:t>სასურველია სამედიცინო მომსახურების ხარისხის გაუმჯობესებისა და მართვის გამოცდილება</w:t>
      </w:r>
    </w:p>
    <w:p w14:paraId="51C6CDB7" w14:textId="77777777" w:rsidR="004A5C39" w:rsidRPr="00FA47C6" w:rsidRDefault="004A5C39" w:rsidP="00FA47C6">
      <w:pPr>
        <w:spacing w:before="120" w:after="120"/>
        <w:ind w:left="-540"/>
        <w:jc w:val="both"/>
        <w:rPr>
          <w:rFonts w:ascii="Sylfaen" w:hAnsi="Sylfaen" w:cstheme="minorHAnsi"/>
          <w:b/>
          <w:sz w:val="20"/>
          <w:szCs w:val="20"/>
          <w:lang w:val="ka-GE"/>
        </w:rPr>
      </w:pPr>
      <w:r w:rsidRPr="00FA47C6">
        <w:rPr>
          <w:rFonts w:ascii="Sylfaen" w:hAnsi="Sylfaen" w:cstheme="minorHAnsi"/>
          <w:b/>
          <w:sz w:val="20"/>
          <w:szCs w:val="20"/>
          <w:lang w:val="ka-GE"/>
        </w:rPr>
        <w:t>ძირითადი პერსონალი:</w:t>
      </w:r>
    </w:p>
    <w:p w14:paraId="52CECE87" w14:textId="77777777" w:rsidR="004A5C39" w:rsidRPr="00FA47C6" w:rsidRDefault="004A5C39" w:rsidP="00FA47C6">
      <w:pPr>
        <w:spacing w:before="120" w:after="120"/>
        <w:ind w:left="-540"/>
        <w:jc w:val="both"/>
        <w:rPr>
          <w:rFonts w:ascii="Sylfaen" w:hAnsi="Sylfaen" w:cstheme="minorHAnsi"/>
          <w:sz w:val="20"/>
          <w:szCs w:val="20"/>
          <w:lang w:val="ka-GE"/>
        </w:rPr>
      </w:pPr>
      <w:r w:rsidRPr="00FA47C6">
        <w:rPr>
          <w:rFonts w:ascii="Sylfaen" w:hAnsi="Sylfaen" w:cstheme="minorHAnsi"/>
          <w:b/>
          <w:sz w:val="20"/>
          <w:szCs w:val="20"/>
          <w:lang w:val="ka-GE"/>
        </w:rPr>
        <w:t>ტექნიკური დახმარების ჯგუფის ხელმძღვანელი (</w:t>
      </w:r>
      <w:r w:rsidRPr="00FA47C6">
        <w:rPr>
          <w:rFonts w:ascii="Sylfaen" w:hAnsi="Sylfaen" w:cstheme="minorHAnsi"/>
          <w:b/>
          <w:sz w:val="20"/>
          <w:szCs w:val="20"/>
        </w:rPr>
        <w:t>team leader):</w:t>
      </w:r>
      <w:r w:rsidRPr="00FA47C6">
        <w:rPr>
          <w:rFonts w:ascii="Sylfaen" w:hAnsi="Sylfaen" w:cstheme="minorHAnsi"/>
          <w:sz w:val="20"/>
          <w:szCs w:val="20"/>
        </w:rPr>
        <w:t xml:space="preserve"> </w:t>
      </w:r>
      <w:r w:rsidRPr="00FA47C6">
        <w:rPr>
          <w:rFonts w:ascii="Sylfaen" w:hAnsi="Sylfaen" w:cstheme="minorHAnsi"/>
          <w:sz w:val="20"/>
          <w:szCs w:val="20"/>
          <w:lang w:val="ka-GE"/>
        </w:rPr>
        <w:t>ტექნიკური დახმარების (</w:t>
      </w:r>
      <w:r w:rsidRPr="00FA47C6">
        <w:rPr>
          <w:rFonts w:ascii="Sylfaen" w:hAnsi="Sylfaen" w:cstheme="minorHAnsi"/>
          <w:sz w:val="20"/>
          <w:szCs w:val="20"/>
        </w:rPr>
        <w:t xml:space="preserve">Technical Assistance) </w:t>
      </w:r>
      <w:r w:rsidRPr="00FA47C6">
        <w:rPr>
          <w:rFonts w:ascii="Sylfaen" w:hAnsi="Sylfaen" w:cstheme="minorHAnsi"/>
          <w:sz w:val="20"/>
          <w:szCs w:val="20"/>
          <w:lang w:val="ka-GE"/>
        </w:rPr>
        <w:t xml:space="preserve">პროექტების მართვის გამოცდილება, პროფესიული გამოცდილება ტუბერკულოზის მართვის ან ხარისხის გაუმჯობესების მიმართულებით; </w:t>
      </w:r>
    </w:p>
    <w:p w14:paraId="62D60435" w14:textId="77777777" w:rsidR="004A5C39" w:rsidRPr="00FA47C6" w:rsidRDefault="004A5C39" w:rsidP="00FA47C6">
      <w:pPr>
        <w:spacing w:before="120" w:after="120"/>
        <w:ind w:left="-540"/>
        <w:jc w:val="both"/>
        <w:rPr>
          <w:rFonts w:ascii="Sylfaen" w:hAnsi="Sylfaen" w:cstheme="minorHAnsi"/>
          <w:b/>
          <w:sz w:val="20"/>
          <w:szCs w:val="20"/>
          <w:lang w:val="ka-GE"/>
        </w:rPr>
      </w:pPr>
      <w:r w:rsidRPr="00FA47C6">
        <w:rPr>
          <w:rFonts w:ascii="Sylfaen" w:hAnsi="Sylfaen" w:cstheme="minorHAnsi"/>
          <w:b/>
          <w:sz w:val="20"/>
          <w:szCs w:val="20"/>
          <w:lang w:val="ka-GE"/>
        </w:rPr>
        <w:t>ტექნიკური ექსპერტი: უცხოელი/საერთაშორისო კონსულტანტი</w:t>
      </w:r>
      <w:r w:rsidR="0089541B" w:rsidRPr="00FA47C6">
        <w:rPr>
          <w:rFonts w:ascii="Sylfaen" w:hAnsi="Sylfaen" w:cstheme="minorHAnsi"/>
          <w:b/>
          <w:sz w:val="20"/>
          <w:szCs w:val="20"/>
          <w:lang w:val="ka-GE"/>
        </w:rPr>
        <w:t xml:space="preserve"> </w:t>
      </w:r>
    </w:p>
    <w:p w14:paraId="476C4610" w14:textId="77777777" w:rsidR="0089541B" w:rsidRPr="00FA47C6" w:rsidRDefault="0089541B" w:rsidP="00FA47C6">
      <w:pPr>
        <w:spacing w:before="120" w:after="120"/>
        <w:ind w:left="-540"/>
        <w:jc w:val="both"/>
        <w:rPr>
          <w:rFonts w:ascii="Sylfaen" w:hAnsi="Sylfaen" w:cstheme="minorHAnsi"/>
          <w:sz w:val="20"/>
          <w:szCs w:val="20"/>
        </w:rPr>
      </w:pPr>
      <w:r w:rsidRPr="00FA47C6">
        <w:rPr>
          <w:rFonts w:ascii="Sylfaen" w:hAnsi="Sylfaen" w:cstheme="minorHAnsi"/>
          <w:sz w:val="20"/>
          <w:szCs w:val="20"/>
          <w:lang w:val="ka-GE"/>
        </w:rPr>
        <w:t xml:space="preserve">ტუბერკულოზის </w:t>
      </w:r>
      <w:r w:rsidR="004A5C39" w:rsidRPr="00FA47C6">
        <w:rPr>
          <w:rFonts w:ascii="Sylfaen" w:hAnsi="Sylfaen" w:cstheme="minorHAnsi"/>
          <w:sz w:val="20"/>
          <w:szCs w:val="20"/>
          <w:lang w:val="ka-GE"/>
        </w:rPr>
        <w:t>კლინიკური მართვის და/ან ხარისხის გაუმჯობესების მიმართულებით</w:t>
      </w:r>
      <w:r w:rsidRPr="00FA47C6">
        <w:rPr>
          <w:rFonts w:ascii="Sylfaen" w:hAnsi="Sylfaen" w:cstheme="minorHAnsi"/>
          <w:sz w:val="20"/>
          <w:szCs w:val="20"/>
          <w:lang w:val="ka-GE"/>
        </w:rPr>
        <w:t xml:space="preserve"> მუშაობის სულ მცირე 5 წლის გამოცდილება</w:t>
      </w:r>
      <w:r w:rsidR="004A5C39" w:rsidRPr="00FA47C6">
        <w:rPr>
          <w:rFonts w:ascii="Sylfaen" w:hAnsi="Sylfaen" w:cstheme="minorHAnsi"/>
          <w:sz w:val="20"/>
          <w:szCs w:val="20"/>
          <w:lang w:val="ka-GE"/>
        </w:rPr>
        <w:t xml:space="preserve">, მათ შორის სხვადასხვა ქვეყანაში. </w:t>
      </w:r>
    </w:p>
    <w:p w14:paraId="1FC8A15E" w14:textId="77777777" w:rsidR="0089541B" w:rsidRPr="00FA47C6" w:rsidRDefault="0089541B" w:rsidP="00FA47C6">
      <w:pPr>
        <w:spacing w:before="120" w:after="120"/>
        <w:ind w:left="-540"/>
        <w:jc w:val="both"/>
        <w:rPr>
          <w:rFonts w:ascii="Sylfaen" w:hAnsi="Sylfaen" w:cstheme="minorHAnsi"/>
          <w:sz w:val="20"/>
          <w:szCs w:val="20"/>
          <w:lang w:val="ka-GE"/>
        </w:rPr>
      </w:pPr>
      <w:r w:rsidRPr="00FA47C6">
        <w:rPr>
          <w:rFonts w:ascii="Sylfaen" w:hAnsi="Sylfaen" w:cstheme="minorHAnsi"/>
          <w:sz w:val="20"/>
          <w:szCs w:val="20"/>
          <w:lang w:val="ka-GE"/>
        </w:rPr>
        <w:t>ტუბერკულოზის მართვის გაიდლაინების შემუშავების გამოცდილება;</w:t>
      </w:r>
    </w:p>
    <w:p w14:paraId="6EE3468C" w14:textId="77777777" w:rsidR="0089541B" w:rsidRPr="00FA47C6" w:rsidRDefault="0089541B" w:rsidP="00FA47C6">
      <w:pPr>
        <w:spacing w:before="120" w:after="120"/>
        <w:ind w:left="-540"/>
        <w:jc w:val="both"/>
        <w:rPr>
          <w:rFonts w:ascii="Sylfaen" w:hAnsi="Sylfaen" w:cstheme="minorHAnsi"/>
          <w:sz w:val="20"/>
          <w:szCs w:val="20"/>
          <w:lang w:val="ka-GE"/>
        </w:rPr>
      </w:pPr>
      <w:r w:rsidRPr="00FA47C6">
        <w:rPr>
          <w:rFonts w:ascii="Sylfaen" w:hAnsi="Sylfaen" w:cstheme="minorHAnsi"/>
          <w:sz w:val="20"/>
          <w:szCs w:val="20"/>
          <w:lang w:val="ka-GE"/>
        </w:rPr>
        <w:t>რეზისტენტული ტუბერკულოზის სამკურნალო ახალი წამლების დანერგვის გამოცდილება;</w:t>
      </w:r>
    </w:p>
    <w:p w14:paraId="201659EE" w14:textId="77777777" w:rsidR="0089541B" w:rsidRPr="00FA47C6" w:rsidRDefault="0089541B" w:rsidP="00FA47C6">
      <w:pPr>
        <w:spacing w:before="120" w:after="120"/>
        <w:ind w:left="-540"/>
        <w:jc w:val="both"/>
        <w:rPr>
          <w:rFonts w:ascii="Sylfaen" w:hAnsi="Sylfaen" w:cstheme="minorHAnsi"/>
          <w:sz w:val="20"/>
          <w:szCs w:val="20"/>
          <w:lang w:val="ka-GE"/>
        </w:rPr>
      </w:pPr>
      <w:r w:rsidRPr="00FA47C6">
        <w:rPr>
          <w:rFonts w:ascii="Sylfaen" w:hAnsi="Sylfaen" w:cstheme="minorHAnsi"/>
          <w:sz w:val="20"/>
          <w:szCs w:val="20"/>
          <w:lang w:val="ka-GE"/>
        </w:rPr>
        <w:t>ტუბერკულოზის თემაზე სამედიცინო პერსონალის ტრენინგის და მენტორობის გამოცდილება.</w:t>
      </w:r>
    </w:p>
    <w:p w14:paraId="1484B6B0" w14:textId="77777777" w:rsidR="0089541B" w:rsidRPr="00FA47C6" w:rsidRDefault="004A5C39" w:rsidP="00FA47C6">
      <w:pPr>
        <w:spacing w:before="120" w:after="120"/>
        <w:ind w:left="-540"/>
        <w:jc w:val="both"/>
        <w:rPr>
          <w:rFonts w:ascii="Sylfaen" w:hAnsi="Sylfaen" w:cstheme="minorHAnsi"/>
          <w:b/>
          <w:sz w:val="20"/>
          <w:szCs w:val="20"/>
          <w:lang w:val="ka-GE"/>
        </w:rPr>
      </w:pPr>
      <w:r w:rsidRPr="00FA47C6">
        <w:rPr>
          <w:rFonts w:ascii="Sylfaen" w:hAnsi="Sylfaen" w:cstheme="minorHAnsi"/>
          <w:b/>
          <w:sz w:val="20"/>
          <w:szCs w:val="20"/>
          <w:lang w:val="ka-GE"/>
        </w:rPr>
        <w:t>ტექნიკური ექსპერტი: ადგილობრივი კონსულტანტი</w:t>
      </w:r>
    </w:p>
    <w:p w14:paraId="42612C65" w14:textId="77777777" w:rsidR="004A5C39" w:rsidRPr="00FA47C6" w:rsidRDefault="004A5C39" w:rsidP="00FA47C6">
      <w:pPr>
        <w:spacing w:before="120" w:after="120"/>
        <w:ind w:left="-540"/>
        <w:jc w:val="both"/>
        <w:rPr>
          <w:rFonts w:ascii="Sylfaen" w:hAnsi="Sylfaen" w:cstheme="minorHAnsi"/>
          <w:sz w:val="20"/>
          <w:szCs w:val="20"/>
          <w:lang w:val="ka-GE"/>
        </w:rPr>
      </w:pPr>
      <w:r w:rsidRPr="00FA47C6">
        <w:rPr>
          <w:rFonts w:ascii="Sylfaen" w:hAnsi="Sylfaen" w:cstheme="minorHAnsi"/>
          <w:sz w:val="20"/>
          <w:szCs w:val="20"/>
          <w:lang w:val="ka-GE"/>
        </w:rPr>
        <w:t>ტუბერკულოზის კლინიკური მართვის და/ან ხარისხის გაუმჯობესების მიმართულებით მუშაობის სულ მცირე 5 წლის გამოცდილება, მათ შორის ტუბერკულოზის მართვის გაიდლაინების შემუშავების გამოცდილება;</w:t>
      </w:r>
    </w:p>
    <w:p w14:paraId="24F0E9D9" w14:textId="77777777" w:rsidR="004A5C39" w:rsidRPr="00FA47C6" w:rsidRDefault="004A5C39" w:rsidP="00FA47C6">
      <w:pPr>
        <w:spacing w:before="120" w:after="120"/>
        <w:ind w:left="-540"/>
        <w:jc w:val="both"/>
        <w:rPr>
          <w:rFonts w:ascii="Sylfaen" w:hAnsi="Sylfaen" w:cstheme="minorHAnsi"/>
          <w:sz w:val="20"/>
          <w:szCs w:val="20"/>
          <w:lang w:val="ka-GE"/>
        </w:rPr>
      </w:pPr>
      <w:r w:rsidRPr="00FA47C6">
        <w:rPr>
          <w:rFonts w:ascii="Sylfaen" w:hAnsi="Sylfaen" w:cstheme="minorHAnsi"/>
          <w:b/>
          <w:sz w:val="20"/>
          <w:szCs w:val="20"/>
          <w:lang w:val="ka-GE"/>
        </w:rPr>
        <w:t>ტექნიკური ექსპერტი:</w:t>
      </w:r>
      <w:r w:rsidRPr="00FA47C6">
        <w:rPr>
          <w:rFonts w:ascii="Sylfaen" w:hAnsi="Sylfaen" w:cstheme="minorHAnsi"/>
          <w:sz w:val="20"/>
          <w:szCs w:val="20"/>
          <w:lang w:val="ka-GE"/>
        </w:rPr>
        <w:t xml:space="preserve"> </w:t>
      </w:r>
      <w:r w:rsidRPr="00FA47C6">
        <w:rPr>
          <w:rFonts w:ascii="Sylfaen" w:hAnsi="Sylfaen" w:cstheme="minorHAnsi"/>
          <w:b/>
          <w:sz w:val="20"/>
          <w:szCs w:val="20"/>
          <w:lang w:val="ka-GE"/>
        </w:rPr>
        <w:t>კლინიცისტი</w:t>
      </w:r>
    </w:p>
    <w:p w14:paraId="4947E46D" w14:textId="77777777" w:rsidR="004A5C39" w:rsidRPr="00FA47C6" w:rsidRDefault="004A5C39" w:rsidP="00FA47C6">
      <w:pPr>
        <w:spacing w:before="120" w:after="120"/>
        <w:ind w:left="-540"/>
        <w:jc w:val="both"/>
        <w:rPr>
          <w:rFonts w:ascii="Sylfaen" w:hAnsi="Sylfaen" w:cstheme="minorHAnsi"/>
          <w:sz w:val="20"/>
          <w:szCs w:val="20"/>
          <w:lang w:val="ka-GE"/>
        </w:rPr>
      </w:pPr>
      <w:r w:rsidRPr="00FA47C6">
        <w:rPr>
          <w:rFonts w:ascii="Sylfaen" w:hAnsi="Sylfaen" w:cstheme="minorHAnsi"/>
          <w:sz w:val="20"/>
          <w:szCs w:val="20"/>
          <w:lang w:val="ka-GE"/>
        </w:rPr>
        <w:t>რეზისტენტული ტუბერკულოზის სამკურნალო ახალი წამლების დანერგვის გამოცდილება;</w:t>
      </w:r>
    </w:p>
    <w:p w14:paraId="66130515" w14:textId="77777777" w:rsidR="004A5C39" w:rsidRPr="00FA47C6" w:rsidRDefault="004A5C39" w:rsidP="00FA47C6">
      <w:pPr>
        <w:spacing w:before="120" w:after="120"/>
        <w:ind w:left="-540"/>
        <w:jc w:val="both"/>
        <w:rPr>
          <w:rFonts w:ascii="Sylfaen" w:hAnsi="Sylfaen" w:cstheme="minorHAnsi"/>
          <w:sz w:val="20"/>
          <w:szCs w:val="20"/>
          <w:lang w:val="ka-GE"/>
        </w:rPr>
      </w:pPr>
      <w:r w:rsidRPr="00FA47C6">
        <w:rPr>
          <w:rFonts w:ascii="Sylfaen" w:hAnsi="Sylfaen" w:cstheme="minorHAnsi"/>
          <w:sz w:val="20"/>
          <w:szCs w:val="20"/>
          <w:lang w:val="ka-GE"/>
        </w:rPr>
        <w:t>ტუბერკულოზის თემაზე სამედიცინო პერსონალის ტრენინგის და მენტორობის გამოცდილება.</w:t>
      </w:r>
    </w:p>
    <w:p w14:paraId="0D1AB141" w14:textId="77777777" w:rsidR="004A5C39" w:rsidRPr="00FA47C6" w:rsidRDefault="004A5C39" w:rsidP="00FA47C6">
      <w:pPr>
        <w:spacing w:before="120" w:after="120"/>
        <w:ind w:left="-540"/>
        <w:jc w:val="both"/>
        <w:rPr>
          <w:rFonts w:ascii="Sylfaen" w:hAnsi="Sylfaen" w:cstheme="minorHAnsi"/>
          <w:b/>
          <w:sz w:val="20"/>
          <w:szCs w:val="20"/>
          <w:lang w:val="ka-GE"/>
        </w:rPr>
      </w:pPr>
    </w:p>
    <w:p w14:paraId="540EC641" w14:textId="77777777" w:rsidR="0089541B" w:rsidRPr="00FA47C6" w:rsidRDefault="0089541B" w:rsidP="00FA47C6">
      <w:pPr>
        <w:spacing w:before="120" w:after="120"/>
        <w:ind w:left="-540"/>
        <w:jc w:val="both"/>
        <w:rPr>
          <w:rFonts w:ascii="Sylfaen" w:hAnsi="Sylfaen" w:cstheme="minorHAnsi"/>
          <w:b/>
          <w:sz w:val="20"/>
          <w:szCs w:val="20"/>
          <w:lang w:val="ka-GE"/>
        </w:rPr>
      </w:pPr>
      <w:r w:rsidRPr="00FA47C6">
        <w:rPr>
          <w:rFonts w:ascii="Sylfaen" w:hAnsi="Sylfaen" w:cstheme="minorHAnsi"/>
          <w:b/>
          <w:sz w:val="20"/>
          <w:szCs w:val="20"/>
          <w:lang w:val="ka-GE"/>
        </w:rPr>
        <w:t xml:space="preserve">დაინტერესებულმა ორგანიზაციებმა უნდა წარმოადგინონ: </w:t>
      </w:r>
    </w:p>
    <w:p w14:paraId="55D89BEE" w14:textId="77777777" w:rsidR="0089541B" w:rsidRPr="00FA47C6" w:rsidRDefault="0089541B" w:rsidP="00FA47C6">
      <w:pPr>
        <w:spacing w:before="120" w:after="120"/>
        <w:ind w:left="-540"/>
        <w:jc w:val="both"/>
        <w:rPr>
          <w:rFonts w:ascii="Sylfaen" w:hAnsi="Sylfaen" w:cstheme="minorHAnsi"/>
          <w:sz w:val="20"/>
          <w:szCs w:val="20"/>
          <w:lang w:val="ka-GE"/>
        </w:rPr>
      </w:pPr>
      <w:bookmarkStart w:id="1" w:name="IVAwardingAlliances"/>
      <w:bookmarkStart w:id="2" w:name="IVDueDiligence"/>
      <w:bookmarkStart w:id="3" w:name="IVMOU"/>
      <w:bookmarkEnd w:id="1"/>
      <w:bookmarkEnd w:id="2"/>
      <w:bookmarkEnd w:id="3"/>
      <w:r w:rsidRPr="00FA47C6">
        <w:rPr>
          <w:rFonts w:ascii="Sylfaen" w:hAnsi="Sylfaen" w:cstheme="minorHAnsi"/>
          <w:sz w:val="20"/>
          <w:szCs w:val="20"/>
          <w:lang w:val="ka-GE"/>
        </w:rPr>
        <w:t>ტექნიკური დავალების შესაბამისად</w:t>
      </w:r>
      <w:r w:rsidR="007429D0" w:rsidRPr="00FA47C6">
        <w:rPr>
          <w:rFonts w:ascii="Sylfaen" w:hAnsi="Sylfaen" w:cstheme="minorHAnsi"/>
          <w:sz w:val="20"/>
          <w:szCs w:val="20"/>
          <w:lang w:val="ka-GE"/>
        </w:rPr>
        <w:t>, მომსახურების განხორციელების დეტალური ტექნიკური აღწერილობა</w:t>
      </w:r>
    </w:p>
    <w:p w14:paraId="71E2DE03" w14:textId="77777777" w:rsidR="0089541B" w:rsidRPr="00FA47C6" w:rsidRDefault="0089541B" w:rsidP="00FA47C6">
      <w:pPr>
        <w:spacing w:before="120" w:after="120"/>
        <w:ind w:left="-540"/>
        <w:jc w:val="both"/>
        <w:rPr>
          <w:rFonts w:ascii="Sylfaen" w:hAnsi="Sylfaen" w:cstheme="minorHAnsi"/>
          <w:sz w:val="20"/>
          <w:szCs w:val="20"/>
          <w:lang w:val="ka-GE"/>
        </w:rPr>
      </w:pPr>
      <w:r w:rsidRPr="00FA47C6">
        <w:rPr>
          <w:rFonts w:ascii="Sylfaen" w:hAnsi="Sylfaen" w:cstheme="minorHAnsi"/>
          <w:sz w:val="20"/>
          <w:szCs w:val="20"/>
          <w:lang w:val="ka-GE"/>
        </w:rPr>
        <w:lastRenderedPageBreak/>
        <w:t xml:space="preserve">კვალიფიკაციისა და გამოცდილების დამადასტურებელი შესაბამისი დოკუმენტაცია; </w:t>
      </w:r>
    </w:p>
    <w:p w14:paraId="276C1027" w14:textId="77777777" w:rsidR="0089541B" w:rsidRPr="00FA47C6" w:rsidRDefault="0089541B" w:rsidP="00FA47C6">
      <w:pPr>
        <w:spacing w:before="120" w:after="120"/>
        <w:ind w:left="-540"/>
        <w:jc w:val="both"/>
        <w:rPr>
          <w:rFonts w:ascii="Sylfaen" w:hAnsi="Sylfaen" w:cstheme="minorHAnsi"/>
          <w:sz w:val="20"/>
          <w:szCs w:val="20"/>
          <w:lang w:val="ka-GE"/>
        </w:rPr>
      </w:pPr>
      <w:r w:rsidRPr="00FA47C6">
        <w:rPr>
          <w:rFonts w:ascii="Sylfaen" w:hAnsi="Sylfaen" w:cstheme="minorHAnsi"/>
          <w:sz w:val="20"/>
          <w:szCs w:val="20"/>
          <w:lang w:val="ka-GE"/>
        </w:rPr>
        <w:t>ძირითადი პერსონალის (სერთაშორისო კონსულტანტის ჩათვლით)</w:t>
      </w:r>
      <w:r w:rsidR="007429D0" w:rsidRPr="00FA47C6">
        <w:rPr>
          <w:rFonts w:ascii="Sylfaen" w:hAnsi="Sylfaen" w:cstheme="minorHAnsi"/>
          <w:sz w:val="20"/>
          <w:szCs w:val="20"/>
          <w:lang w:val="ka-GE"/>
        </w:rPr>
        <w:t xml:space="preserve"> ხელმოწერილი</w:t>
      </w:r>
      <w:r w:rsidRPr="00FA47C6">
        <w:rPr>
          <w:rFonts w:ascii="Sylfaen" w:hAnsi="Sylfaen" w:cstheme="minorHAnsi"/>
          <w:sz w:val="20"/>
          <w:szCs w:val="20"/>
          <w:lang w:val="ka-GE"/>
        </w:rPr>
        <w:t xml:space="preserve"> პროფესიული ბიოგრაფია (CV).</w:t>
      </w:r>
    </w:p>
    <w:p w14:paraId="19CEF219" w14:textId="77777777" w:rsidR="00BB0B3B" w:rsidRPr="00FA47C6" w:rsidRDefault="00BB0B3B" w:rsidP="00FA47C6">
      <w:pPr>
        <w:spacing w:before="120" w:after="120"/>
        <w:ind w:left="-540"/>
        <w:jc w:val="both"/>
        <w:rPr>
          <w:rFonts w:ascii="Sylfaen" w:hAnsi="Sylfaen" w:cstheme="minorHAnsi"/>
          <w:sz w:val="20"/>
          <w:szCs w:val="20"/>
          <w:lang w:val="ka-GE"/>
        </w:rPr>
      </w:pPr>
    </w:p>
    <w:p w14:paraId="332A5EA8" w14:textId="77777777" w:rsidR="00BB0B3B" w:rsidRPr="00FA47C6" w:rsidRDefault="00BB0B3B" w:rsidP="00FA47C6">
      <w:pPr>
        <w:spacing w:before="120" w:after="120"/>
        <w:ind w:left="-540"/>
        <w:jc w:val="both"/>
        <w:rPr>
          <w:rFonts w:ascii="Sylfaen" w:hAnsi="Sylfaen" w:cstheme="minorHAnsi"/>
          <w:sz w:val="20"/>
          <w:szCs w:val="20"/>
          <w:lang w:val="ka-GE"/>
        </w:rPr>
      </w:pPr>
    </w:p>
    <w:p w14:paraId="7B7E27FF" w14:textId="77777777" w:rsidR="00BB0B3B" w:rsidRPr="00FA47C6" w:rsidRDefault="00BB0B3B" w:rsidP="00FA47C6">
      <w:pPr>
        <w:spacing w:before="120" w:after="120"/>
        <w:ind w:left="-540"/>
        <w:jc w:val="both"/>
        <w:rPr>
          <w:rFonts w:ascii="Sylfaen" w:hAnsi="Sylfaen" w:cstheme="minorHAnsi"/>
          <w:sz w:val="20"/>
          <w:szCs w:val="20"/>
          <w:lang w:val="ka-GE"/>
        </w:rPr>
      </w:pPr>
    </w:p>
    <w:p w14:paraId="6C21D6A5" w14:textId="17DBDEA9" w:rsidR="00BB0B3B" w:rsidRPr="00FA47C6" w:rsidRDefault="00BB0B3B" w:rsidP="00FA47C6">
      <w:pPr>
        <w:ind w:left="-540"/>
        <w:contextualSpacing/>
        <w:jc w:val="both"/>
        <w:rPr>
          <w:rFonts w:ascii="Sylfaen" w:hAnsi="Sylfaen" w:cstheme="minorHAnsi"/>
          <w:sz w:val="20"/>
          <w:szCs w:val="20"/>
          <w:lang w:val="ka-GE"/>
        </w:rPr>
      </w:pPr>
    </w:p>
    <w:p w14:paraId="693464A9" w14:textId="77777777" w:rsidR="00BB0B3B" w:rsidRPr="00FA47C6" w:rsidRDefault="00BB0B3B" w:rsidP="00FA47C6">
      <w:pPr>
        <w:spacing w:before="120" w:after="120"/>
        <w:ind w:left="-540"/>
        <w:jc w:val="both"/>
        <w:rPr>
          <w:rFonts w:ascii="Sylfaen" w:hAnsi="Sylfaen" w:cstheme="minorHAnsi"/>
          <w:sz w:val="20"/>
          <w:szCs w:val="20"/>
          <w:lang w:val="ka-GE"/>
        </w:rPr>
      </w:pPr>
    </w:p>
    <w:sectPr w:rsidR="00BB0B3B" w:rsidRPr="00FA47C6" w:rsidSect="00BB0B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F9F02" w14:textId="77777777" w:rsidR="0055326B" w:rsidRDefault="0055326B" w:rsidP="001547AF">
      <w:r>
        <w:separator/>
      </w:r>
    </w:p>
  </w:endnote>
  <w:endnote w:type="continuationSeparator" w:id="0">
    <w:p w14:paraId="164D3EB0" w14:textId="77777777" w:rsidR="0055326B" w:rsidRDefault="0055326B" w:rsidP="0015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65 Medium">
    <w:altName w:val="Arial"/>
    <w:panose1 w:val="00000000000000000000"/>
    <w:charset w:val="00"/>
    <w:family w:val="swiss"/>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7C1CC" w14:textId="77777777" w:rsidR="0055326B" w:rsidRDefault="0055326B" w:rsidP="001547AF">
      <w:r>
        <w:separator/>
      </w:r>
    </w:p>
  </w:footnote>
  <w:footnote w:type="continuationSeparator" w:id="0">
    <w:p w14:paraId="37A11E77" w14:textId="77777777" w:rsidR="0055326B" w:rsidRDefault="0055326B" w:rsidP="00154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5798"/>
    <w:multiLevelType w:val="hybridMultilevel"/>
    <w:tmpl w:val="C8A4E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AA0D39"/>
    <w:multiLevelType w:val="hybridMultilevel"/>
    <w:tmpl w:val="E268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A2A8C"/>
    <w:multiLevelType w:val="hybridMultilevel"/>
    <w:tmpl w:val="35E4EF48"/>
    <w:lvl w:ilvl="0" w:tplc="F94A1DA2">
      <w:start w:val="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334FA"/>
    <w:multiLevelType w:val="hybridMultilevel"/>
    <w:tmpl w:val="3C9EC38A"/>
    <w:lvl w:ilvl="0" w:tplc="04090001">
      <w:start w:val="1"/>
      <w:numFmt w:val="bullet"/>
      <w:lvlText w:val=""/>
      <w:lvlJc w:val="left"/>
      <w:pPr>
        <w:ind w:left="720" w:hanging="360"/>
      </w:pPr>
      <w:rPr>
        <w:rFonts w:ascii="Symbol" w:hAnsi="Symbo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4070A0"/>
    <w:multiLevelType w:val="hybridMultilevel"/>
    <w:tmpl w:val="DC2AD36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7D5E8A"/>
    <w:multiLevelType w:val="multilevel"/>
    <w:tmpl w:val="A4CA6B9A"/>
    <w:lvl w:ilvl="0">
      <w:start w:val="1"/>
      <w:numFmt w:val="decimal"/>
      <w:lvlText w:val="%1."/>
      <w:lvlJc w:val="left"/>
      <w:pPr>
        <w:ind w:left="1572" w:hanging="720"/>
      </w:pPr>
      <w:rPr>
        <w:rFonts w:hint="default"/>
      </w:rPr>
    </w:lvl>
    <w:lvl w:ilvl="1" w:tentative="1">
      <w:start w:val="1"/>
      <w:numFmt w:val="lowerLetter"/>
      <w:lvlText w:val="%2."/>
      <w:lvlJc w:val="left"/>
      <w:pPr>
        <w:ind w:left="1932" w:hanging="360"/>
      </w:pPr>
    </w:lvl>
    <w:lvl w:ilvl="2" w:tentative="1">
      <w:start w:val="1"/>
      <w:numFmt w:val="lowerRoman"/>
      <w:lvlText w:val="%3."/>
      <w:lvlJc w:val="right"/>
      <w:pPr>
        <w:ind w:left="2652" w:hanging="180"/>
      </w:pPr>
    </w:lvl>
    <w:lvl w:ilvl="3" w:tentative="1">
      <w:start w:val="1"/>
      <w:numFmt w:val="decimal"/>
      <w:lvlText w:val="%4."/>
      <w:lvlJc w:val="left"/>
      <w:pPr>
        <w:ind w:left="3372" w:hanging="360"/>
      </w:pPr>
    </w:lvl>
    <w:lvl w:ilvl="4" w:tentative="1">
      <w:start w:val="1"/>
      <w:numFmt w:val="lowerLetter"/>
      <w:lvlText w:val="%5."/>
      <w:lvlJc w:val="left"/>
      <w:pPr>
        <w:ind w:left="4092" w:hanging="360"/>
      </w:pPr>
    </w:lvl>
    <w:lvl w:ilvl="5" w:tentative="1">
      <w:start w:val="1"/>
      <w:numFmt w:val="lowerRoman"/>
      <w:lvlText w:val="%6."/>
      <w:lvlJc w:val="right"/>
      <w:pPr>
        <w:ind w:left="4812" w:hanging="180"/>
      </w:pPr>
    </w:lvl>
    <w:lvl w:ilvl="6" w:tentative="1">
      <w:start w:val="1"/>
      <w:numFmt w:val="decimal"/>
      <w:lvlText w:val="%7."/>
      <w:lvlJc w:val="left"/>
      <w:pPr>
        <w:ind w:left="5532" w:hanging="360"/>
      </w:pPr>
    </w:lvl>
    <w:lvl w:ilvl="7" w:tentative="1">
      <w:start w:val="1"/>
      <w:numFmt w:val="lowerLetter"/>
      <w:lvlText w:val="%8."/>
      <w:lvlJc w:val="left"/>
      <w:pPr>
        <w:ind w:left="6252" w:hanging="360"/>
      </w:pPr>
    </w:lvl>
    <w:lvl w:ilvl="8" w:tentative="1">
      <w:start w:val="1"/>
      <w:numFmt w:val="lowerRoman"/>
      <w:lvlText w:val="%9."/>
      <w:lvlJc w:val="right"/>
      <w:pPr>
        <w:ind w:left="6972" w:hanging="180"/>
      </w:pPr>
    </w:lvl>
  </w:abstractNum>
  <w:abstractNum w:abstractNumId="6" w15:restartNumberingAfterBreak="0">
    <w:nsid w:val="0BD92863"/>
    <w:multiLevelType w:val="multilevel"/>
    <w:tmpl w:val="5568E0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FF176D"/>
    <w:multiLevelType w:val="hybridMultilevel"/>
    <w:tmpl w:val="E638A4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A8460B"/>
    <w:multiLevelType w:val="multilevel"/>
    <w:tmpl w:val="A4CA6B9A"/>
    <w:lvl w:ilvl="0">
      <w:start w:val="1"/>
      <w:numFmt w:val="decimal"/>
      <w:lvlText w:val="%1."/>
      <w:lvlJc w:val="left"/>
      <w:pPr>
        <w:ind w:left="882" w:hanging="720"/>
      </w:pPr>
      <w:rPr>
        <w:rFonts w:hint="default"/>
      </w:rPr>
    </w:lvl>
    <w:lvl w:ilvl="1" w:tentative="1">
      <w:start w:val="1"/>
      <w:numFmt w:val="lowerLetter"/>
      <w:lvlText w:val="%2."/>
      <w:lvlJc w:val="left"/>
      <w:pPr>
        <w:ind w:left="1242" w:hanging="360"/>
      </w:pPr>
    </w:lvl>
    <w:lvl w:ilvl="2" w:tentative="1">
      <w:start w:val="1"/>
      <w:numFmt w:val="lowerRoman"/>
      <w:lvlText w:val="%3."/>
      <w:lvlJc w:val="right"/>
      <w:pPr>
        <w:ind w:left="1962" w:hanging="180"/>
      </w:pPr>
    </w:lvl>
    <w:lvl w:ilvl="3" w:tentative="1">
      <w:start w:val="1"/>
      <w:numFmt w:val="decimal"/>
      <w:lvlText w:val="%4."/>
      <w:lvlJc w:val="left"/>
      <w:pPr>
        <w:ind w:left="2682" w:hanging="360"/>
      </w:pPr>
    </w:lvl>
    <w:lvl w:ilvl="4" w:tentative="1">
      <w:start w:val="1"/>
      <w:numFmt w:val="lowerLetter"/>
      <w:lvlText w:val="%5."/>
      <w:lvlJc w:val="left"/>
      <w:pPr>
        <w:ind w:left="3402" w:hanging="360"/>
      </w:pPr>
    </w:lvl>
    <w:lvl w:ilvl="5" w:tentative="1">
      <w:start w:val="1"/>
      <w:numFmt w:val="lowerRoman"/>
      <w:lvlText w:val="%6."/>
      <w:lvlJc w:val="right"/>
      <w:pPr>
        <w:ind w:left="4122" w:hanging="180"/>
      </w:pPr>
    </w:lvl>
    <w:lvl w:ilvl="6" w:tentative="1">
      <w:start w:val="1"/>
      <w:numFmt w:val="decimal"/>
      <w:lvlText w:val="%7."/>
      <w:lvlJc w:val="left"/>
      <w:pPr>
        <w:ind w:left="4842" w:hanging="360"/>
      </w:pPr>
    </w:lvl>
    <w:lvl w:ilvl="7" w:tentative="1">
      <w:start w:val="1"/>
      <w:numFmt w:val="lowerLetter"/>
      <w:lvlText w:val="%8."/>
      <w:lvlJc w:val="left"/>
      <w:pPr>
        <w:ind w:left="5562" w:hanging="360"/>
      </w:pPr>
    </w:lvl>
    <w:lvl w:ilvl="8" w:tentative="1">
      <w:start w:val="1"/>
      <w:numFmt w:val="lowerRoman"/>
      <w:lvlText w:val="%9."/>
      <w:lvlJc w:val="right"/>
      <w:pPr>
        <w:ind w:left="6282" w:hanging="180"/>
      </w:pPr>
    </w:lvl>
  </w:abstractNum>
  <w:abstractNum w:abstractNumId="9" w15:restartNumberingAfterBreak="0">
    <w:nsid w:val="14E82DF9"/>
    <w:multiLevelType w:val="hybridMultilevel"/>
    <w:tmpl w:val="694C0B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195B0D"/>
    <w:multiLevelType w:val="hybridMultilevel"/>
    <w:tmpl w:val="95C06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2055CB"/>
    <w:multiLevelType w:val="hybridMultilevel"/>
    <w:tmpl w:val="064005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415A64"/>
    <w:multiLevelType w:val="multilevel"/>
    <w:tmpl w:val="26B6781E"/>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15:restartNumberingAfterBreak="0">
    <w:nsid w:val="187039FB"/>
    <w:multiLevelType w:val="hybridMultilevel"/>
    <w:tmpl w:val="1AE4E6B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350829"/>
    <w:multiLevelType w:val="hybridMultilevel"/>
    <w:tmpl w:val="6B9A95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D530A8"/>
    <w:multiLevelType w:val="hybridMultilevel"/>
    <w:tmpl w:val="4668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F23916"/>
    <w:multiLevelType w:val="hybridMultilevel"/>
    <w:tmpl w:val="1D06A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585CC5"/>
    <w:multiLevelType w:val="hybridMultilevel"/>
    <w:tmpl w:val="A37440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64241F4"/>
    <w:multiLevelType w:val="hybridMultilevel"/>
    <w:tmpl w:val="D5FE0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E41CE5"/>
    <w:multiLevelType w:val="hybridMultilevel"/>
    <w:tmpl w:val="5074E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A4D50F6"/>
    <w:multiLevelType w:val="hybridMultilevel"/>
    <w:tmpl w:val="68A4F3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3093E"/>
    <w:multiLevelType w:val="multilevel"/>
    <w:tmpl w:val="A4F0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620785"/>
    <w:multiLevelType w:val="hybridMultilevel"/>
    <w:tmpl w:val="694C0B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9B61F6"/>
    <w:multiLevelType w:val="hybridMultilevel"/>
    <w:tmpl w:val="BEF0A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2476F8"/>
    <w:multiLevelType w:val="hybridMultilevel"/>
    <w:tmpl w:val="CE90EB90"/>
    <w:lvl w:ilvl="0" w:tplc="31FE2C7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55AB45AD"/>
    <w:multiLevelType w:val="multilevel"/>
    <w:tmpl w:val="A4CA6B9A"/>
    <w:lvl w:ilvl="0">
      <w:start w:val="1"/>
      <w:numFmt w:val="decimal"/>
      <w:lvlText w:val="%1."/>
      <w:lvlJc w:val="left"/>
      <w:pPr>
        <w:ind w:left="1572" w:hanging="720"/>
      </w:pPr>
      <w:rPr>
        <w:rFonts w:hint="default"/>
      </w:rPr>
    </w:lvl>
    <w:lvl w:ilvl="1" w:tentative="1">
      <w:start w:val="1"/>
      <w:numFmt w:val="lowerLetter"/>
      <w:lvlText w:val="%2."/>
      <w:lvlJc w:val="left"/>
      <w:pPr>
        <w:ind w:left="1932" w:hanging="360"/>
      </w:pPr>
    </w:lvl>
    <w:lvl w:ilvl="2" w:tentative="1">
      <w:start w:val="1"/>
      <w:numFmt w:val="lowerRoman"/>
      <w:lvlText w:val="%3."/>
      <w:lvlJc w:val="right"/>
      <w:pPr>
        <w:ind w:left="2652" w:hanging="180"/>
      </w:pPr>
    </w:lvl>
    <w:lvl w:ilvl="3" w:tentative="1">
      <w:start w:val="1"/>
      <w:numFmt w:val="decimal"/>
      <w:lvlText w:val="%4."/>
      <w:lvlJc w:val="left"/>
      <w:pPr>
        <w:ind w:left="3372" w:hanging="360"/>
      </w:pPr>
    </w:lvl>
    <w:lvl w:ilvl="4" w:tentative="1">
      <w:start w:val="1"/>
      <w:numFmt w:val="lowerLetter"/>
      <w:lvlText w:val="%5."/>
      <w:lvlJc w:val="left"/>
      <w:pPr>
        <w:ind w:left="4092" w:hanging="360"/>
      </w:pPr>
    </w:lvl>
    <w:lvl w:ilvl="5" w:tentative="1">
      <w:start w:val="1"/>
      <w:numFmt w:val="lowerRoman"/>
      <w:lvlText w:val="%6."/>
      <w:lvlJc w:val="right"/>
      <w:pPr>
        <w:ind w:left="4812" w:hanging="180"/>
      </w:pPr>
    </w:lvl>
    <w:lvl w:ilvl="6" w:tentative="1">
      <w:start w:val="1"/>
      <w:numFmt w:val="decimal"/>
      <w:lvlText w:val="%7."/>
      <w:lvlJc w:val="left"/>
      <w:pPr>
        <w:ind w:left="5532" w:hanging="360"/>
      </w:pPr>
    </w:lvl>
    <w:lvl w:ilvl="7" w:tentative="1">
      <w:start w:val="1"/>
      <w:numFmt w:val="lowerLetter"/>
      <w:lvlText w:val="%8."/>
      <w:lvlJc w:val="left"/>
      <w:pPr>
        <w:ind w:left="6252" w:hanging="360"/>
      </w:pPr>
    </w:lvl>
    <w:lvl w:ilvl="8" w:tentative="1">
      <w:start w:val="1"/>
      <w:numFmt w:val="lowerRoman"/>
      <w:lvlText w:val="%9."/>
      <w:lvlJc w:val="right"/>
      <w:pPr>
        <w:ind w:left="6972" w:hanging="180"/>
      </w:pPr>
    </w:lvl>
  </w:abstractNum>
  <w:abstractNum w:abstractNumId="26" w15:restartNumberingAfterBreak="0">
    <w:nsid w:val="57F640AC"/>
    <w:multiLevelType w:val="hybridMultilevel"/>
    <w:tmpl w:val="966A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C44E62"/>
    <w:multiLevelType w:val="hybridMultilevel"/>
    <w:tmpl w:val="B8147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F53386"/>
    <w:multiLevelType w:val="hybridMultilevel"/>
    <w:tmpl w:val="D75223C6"/>
    <w:lvl w:ilvl="0" w:tplc="748A6FF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AD13BE"/>
    <w:multiLevelType w:val="hybridMultilevel"/>
    <w:tmpl w:val="26B6781E"/>
    <w:lvl w:ilvl="0" w:tplc="9CDC3726">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E31490F"/>
    <w:multiLevelType w:val="hybridMultilevel"/>
    <w:tmpl w:val="F6A242C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D423C0"/>
    <w:multiLevelType w:val="hybridMultilevel"/>
    <w:tmpl w:val="F468C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381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BD4654F"/>
    <w:multiLevelType w:val="hybridMultilevel"/>
    <w:tmpl w:val="7EA8650E"/>
    <w:lvl w:ilvl="0" w:tplc="F59E40D4">
      <w:start w:val="1"/>
      <w:numFmt w:val="decimal"/>
      <w:lvlText w:val="%1."/>
      <w:lvlJc w:val="left"/>
      <w:pPr>
        <w:ind w:left="1200" w:hanging="84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3F0D92"/>
    <w:multiLevelType w:val="hybridMultilevel"/>
    <w:tmpl w:val="86EA1E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9784062"/>
    <w:multiLevelType w:val="hybridMultilevel"/>
    <w:tmpl w:val="53100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6F55FD"/>
    <w:multiLevelType w:val="multilevel"/>
    <w:tmpl w:val="0CDEDFFE"/>
    <w:lvl w:ilvl="0">
      <w:start w:val="1"/>
      <w:numFmt w:val="decimal"/>
      <w:lvlText w:val="%1."/>
      <w:lvlJc w:val="left"/>
      <w:pPr>
        <w:ind w:left="420" w:hanging="420"/>
      </w:pPr>
      <w:rPr>
        <w:rFonts w:ascii="Calibri" w:eastAsia="Times New Roman" w:hAnsi="Calibri" w:cs="Calibri" w:hint="default"/>
        <w:color w:val="000000"/>
        <w:sz w:val="22"/>
      </w:rPr>
    </w:lvl>
    <w:lvl w:ilvl="1">
      <w:start w:val="1"/>
      <w:numFmt w:val="decimal"/>
      <w:lvlText w:val="%1.%2."/>
      <w:lvlJc w:val="left"/>
      <w:pPr>
        <w:ind w:left="780" w:hanging="420"/>
      </w:pPr>
      <w:rPr>
        <w:rFonts w:ascii="Calibri" w:eastAsia="Times New Roman" w:hAnsi="Calibri" w:cs="Calibri" w:hint="default"/>
        <w:color w:val="000000"/>
        <w:sz w:val="22"/>
      </w:rPr>
    </w:lvl>
    <w:lvl w:ilvl="2">
      <w:start w:val="1"/>
      <w:numFmt w:val="decimal"/>
      <w:lvlText w:val="%1.%2.%3."/>
      <w:lvlJc w:val="left"/>
      <w:pPr>
        <w:ind w:left="1440" w:hanging="720"/>
      </w:pPr>
      <w:rPr>
        <w:rFonts w:ascii="Calibri" w:eastAsia="Times New Roman" w:hAnsi="Calibri" w:cs="Calibri" w:hint="default"/>
        <w:color w:val="000000"/>
        <w:sz w:val="22"/>
      </w:rPr>
    </w:lvl>
    <w:lvl w:ilvl="3">
      <w:start w:val="1"/>
      <w:numFmt w:val="decimal"/>
      <w:lvlText w:val="%1.%2.%3.%4."/>
      <w:lvlJc w:val="left"/>
      <w:pPr>
        <w:ind w:left="1800" w:hanging="720"/>
      </w:pPr>
      <w:rPr>
        <w:rFonts w:ascii="Calibri" w:eastAsia="Times New Roman" w:hAnsi="Calibri" w:cs="Calibri" w:hint="default"/>
        <w:color w:val="000000"/>
        <w:sz w:val="22"/>
      </w:rPr>
    </w:lvl>
    <w:lvl w:ilvl="4">
      <w:start w:val="1"/>
      <w:numFmt w:val="decimal"/>
      <w:lvlText w:val="%1.%2.%3.%4.%5."/>
      <w:lvlJc w:val="left"/>
      <w:pPr>
        <w:ind w:left="2520" w:hanging="1080"/>
      </w:pPr>
      <w:rPr>
        <w:rFonts w:ascii="Calibri" w:eastAsia="Times New Roman" w:hAnsi="Calibri" w:cs="Calibri" w:hint="default"/>
        <w:color w:val="000000"/>
        <w:sz w:val="22"/>
      </w:rPr>
    </w:lvl>
    <w:lvl w:ilvl="5">
      <w:start w:val="1"/>
      <w:numFmt w:val="decimal"/>
      <w:lvlText w:val="%1.%2.%3.%4.%5.%6."/>
      <w:lvlJc w:val="left"/>
      <w:pPr>
        <w:ind w:left="2880" w:hanging="1080"/>
      </w:pPr>
      <w:rPr>
        <w:rFonts w:ascii="Calibri" w:eastAsia="Times New Roman" w:hAnsi="Calibri" w:cs="Calibri" w:hint="default"/>
        <w:color w:val="000000"/>
        <w:sz w:val="22"/>
      </w:rPr>
    </w:lvl>
    <w:lvl w:ilvl="6">
      <w:start w:val="1"/>
      <w:numFmt w:val="decimal"/>
      <w:lvlText w:val="%1.%2.%3.%4.%5.%6.%7."/>
      <w:lvlJc w:val="left"/>
      <w:pPr>
        <w:ind w:left="3600" w:hanging="1440"/>
      </w:pPr>
      <w:rPr>
        <w:rFonts w:ascii="Calibri" w:eastAsia="Times New Roman" w:hAnsi="Calibri" w:cs="Calibri" w:hint="default"/>
        <w:color w:val="000000"/>
        <w:sz w:val="22"/>
      </w:rPr>
    </w:lvl>
    <w:lvl w:ilvl="7">
      <w:start w:val="1"/>
      <w:numFmt w:val="decimal"/>
      <w:lvlText w:val="%1.%2.%3.%4.%5.%6.%7.%8."/>
      <w:lvlJc w:val="left"/>
      <w:pPr>
        <w:ind w:left="3960" w:hanging="1440"/>
      </w:pPr>
      <w:rPr>
        <w:rFonts w:ascii="Calibri" w:eastAsia="Times New Roman" w:hAnsi="Calibri" w:cs="Calibri" w:hint="default"/>
        <w:color w:val="000000"/>
        <w:sz w:val="22"/>
      </w:rPr>
    </w:lvl>
    <w:lvl w:ilvl="8">
      <w:start w:val="1"/>
      <w:numFmt w:val="decimal"/>
      <w:lvlText w:val="%1.%2.%3.%4.%5.%6.%7.%8.%9."/>
      <w:lvlJc w:val="left"/>
      <w:pPr>
        <w:ind w:left="4680" w:hanging="1800"/>
      </w:pPr>
      <w:rPr>
        <w:rFonts w:ascii="Calibri" w:eastAsia="Times New Roman" w:hAnsi="Calibri" w:cs="Calibri" w:hint="default"/>
        <w:color w:val="000000"/>
        <w:sz w:val="22"/>
      </w:rPr>
    </w:lvl>
  </w:abstractNum>
  <w:num w:numId="1">
    <w:abstractNumId w:val="15"/>
  </w:num>
  <w:num w:numId="2">
    <w:abstractNumId w:val="18"/>
  </w:num>
  <w:num w:numId="3">
    <w:abstractNumId w:val="0"/>
  </w:num>
  <w:num w:numId="4">
    <w:abstractNumId w:val="10"/>
  </w:num>
  <w:num w:numId="5">
    <w:abstractNumId w:val="2"/>
  </w:num>
  <w:num w:numId="6">
    <w:abstractNumId w:val="17"/>
  </w:num>
  <w:num w:numId="7">
    <w:abstractNumId w:val="6"/>
  </w:num>
  <w:num w:numId="8">
    <w:abstractNumId w:val="29"/>
  </w:num>
  <w:num w:numId="9">
    <w:abstractNumId w:val="12"/>
  </w:num>
  <w:num w:numId="10">
    <w:abstractNumId w:val="25"/>
  </w:num>
  <w:num w:numId="11">
    <w:abstractNumId w:val="8"/>
  </w:num>
  <w:num w:numId="12">
    <w:abstractNumId w:val="5"/>
  </w:num>
  <w:num w:numId="13">
    <w:abstractNumId w:val="16"/>
  </w:num>
  <w:num w:numId="14">
    <w:abstractNumId w:val="28"/>
  </w:num>
  <w:num w:numId="15">
    <w:abstractNumId w:val="33"/>
  </w:num>
  <w:num w:numId="16">
    <w:abstractNumId w:val="31"/>
  </w:num>
  <w:num w:numId="17">
    <w:abstractNumId w:val="31"/>
  </w:num>
  <w:num w:numId="18">
    <w:abstractNumId w:val="19"/>
  </w:num>
  <w:num w:numId="19">
    <w:abstractNumId w:val="35"/>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
  </w:num>
  <w:num w:numId="23">
    <w:abstractNumId w:val="13"/>
  </w:num>
  <w:num w:numId="24">
    <w:abstractNumId w:val="20"/>
  </w:num>
  <w:num w:numId="25">
    <w:abstractNumId w:val="32"/>
  </w:num>
  <w:num w:numId="26">
    <w:abstractNumId w:val="26"/>
  </w:num>
  <w:num w:numId="27">
    <w:abstractNumId w:val="1"/>
  </w:num>
  <w:num w:numId="28">
    <w:abstractNumId w:val="14"/>
  </w:num>
  <w:num w:numId="29">
    <w:abstractNumId w:val="4"/>
  </w:num>
  <w:num w:numId="30">
    <w:abstractNumId w:val="11"/>
  </w:num>
  <w:num w:numId="31">
    <w:abstractNumId w:val="23"/>
  </w:num>
  <w:num w:numId="32">
    <w:abstractNumId w:val="27"/>
  </w:num>
  <w:num w:numId="33">
    <w:abstractNumId w:val="24"/>
  </w:num>
  <w:num w:numId="34">
    <w:abstractNumId w:val="34"/>
  </w:num>
  <w:num w:numId="35">
    <w:abstractNumId w:val="7"/>
  </w:num>
  <w:num w:numId="36">
    <w:abstractNumId w:val="36"/>
  </w:num>
  <w:num w:numId="37">
    <w:abstractNumId w:val="22"/>
  </w:num>
  <w:num w:numId="38">
    <w:abstractNumId w:val="9"/>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7AF"/>
    <w:rsid w:val="000077CF"/>
    <w:rsid w:val="000202C3"/>
    <w:rsid w:val="000440AA"/>
    <w:rsid w:val="000534AD"/>
    <w:rsid w:val="00054735"/>
    <w:rsid w:val="000668B0"/>
    <w:rsid w:val="00073C21"/>
    <w:rsid w:val="00074703"/>
    <w:rsid w:val="00085FE4"/>
    <w:rsid w:val="00095BE5"/>
    <w:rsid w:val="000B4D11"/>
    <w:rsid w:val="000B5689"/>
    <w:rsid w:val="000C19F8"/>
    <w:rsid w:val="000D3C7F"/>
    <w:rsid w:val="000D42E1"/>
    <w:rsid w:val="000F5394"/>
    <w:rsid w:val="000F70D2"/>
    <w:rsid w:val="0010648C"/>
    <w:rsid w:val="00110A2D"/>
    <w:rsid w:val="00127FD7"/>
    <w:rsid w:val="0013113B"/>
    <w:rsid w:val="001547AF"/>
    <w:rsid w:val="0016757F"/>
    <w:rsid w:val="001754CD"/>
    <w:rsid w:val="00183383"/>
    <w:rsid w:val="00186366"/>
    <w:rsid w:val="00191F85"/>
    <w:rsid w:val="00193D5D"/>
    <w:rsid w:val="001C0E60"/>
    <w:rsid w:val="001F540F"/>
    <w:rsid w:val="00200C9D"/>
    <w:rsid w:val="00206060"/>
    <w:rsid w:val="002130F4"/>
    <w:rsid w:val="0021545E"/>
    <w:rsid w:val="0022333C"/>
    <w:rsid w:val="00223806"/>
    <w:rsid w:val="00236FCA"/>
    <w:rsid w:val="00242D03"/>
    <w:rsid w:val="00245FD2"/>
    <w:rsid w:val="00250F62"/>
    <w:rsid w:val="002515B1"/>
    <w:rsid w:val="00254686"/>
    <w:rsid w:val="00260DB4"/>
    <w:rsid w:val="0026664D"/>
    <w:rsid w:val="0028143A"/>
    <w:rsid w:val="00282BD2"/>
    <w:rsid w:val="0028335B"/>
    <w:rsid w:val="002B033F"/>
    <w:rsid w:val="002B4688"/>
    <w:rsid w:val="002B4D4C"/>
    <w:rsid w:val="002C00DC"/>
    <w:rsid w:val="002D1E98"/>
    <w:rsid w:val="002D49F2"/>
    <w:rsid w:val="002E3E21"/>
    <w:rsid w:val="002E7FBE"/>
    <w:rsid w:val="002F1B1D"/>
    <w:rsid w:val="003075E8"/>
    <w:rsid w:val="00344D91"/>
    <w:rsid w:val="003532F0"/>
    <w:rsid w:val="00355D86"/>
    <w:rsid w:val="0037584A"/>
    <w:rsid w:val="0038293B"/>
    <w:rsid w:val="003861C0"/>
    <w:rsid w:val="0039774E"/>
    <w:rsid w:val="003A0824"/>
    <w:rsid w:val="003A428F"/>
    <w:rsid w:val="003B03AA"/>
    <w:rsid w:val="003B0F60"/>
    <w:rsid w:val="003E5112"/>
    <w:rsid w:val="003F09BF"/>
    <w:rsid w:val="003F3B5E"/>
    <w:rsid w:val="003F5E08"/>
    <w:rsid w:val="003F6106"/>
    <w:rsid w:val="003F6213"/>
    <w:rsid w:val="003F7B70"/>
    <w:rsid w:val="004118F8"/>
    <w:rsid w:val="004124BE"/>
    <w:rsid w:val="0041379A"/>
    <w:rsid w:val="00447D0B"/>
    <w:rsid w:val="00451650"/>
    <w:rsid w:val="004578C8"/>
    <w:rsid w:val="004737B1"/>
    <w:rsid w:val="00484A11"/>
    <w:rsid w:val="004A3FF7"/>
    <w:rsid w:val="004A5C39"/>
    <w:rsid w:val="004A6F77"/>
    <w:rsid w:val="004C7864"/>
    <w:rsid w:val="004D3271"/>
    <w:rsid w:val="004D5975"/>
    <w:rsid w:val="004E10F4"/>
    <w:rsid w:val="004E4BDA"/>
    <w:rsid w:val="004E66BF"/>
    <w:rsid w:val="004F27DF"/>
    <w:rsid w:val="005120CA"/>
    <w:rsid w:val="00517F2C"/>
    <w:rsid w:val="00525401"/>
    <w:rsid w:val="00532F53"/>
    <w:rsid w:val="00535E55"/>
    <w:rsid w:val="00547FBD"/>
    <w:rsid w:val="005504E1"/>
    <w:rsid w:val="0055326B"/>
    <w:rsid w:val="0056131B"/>
    <w:rsid w:val="005801E9"/>
    <w:rsid w:val="005848F7"/>
    <w:rsid w:val="00584B46"/>
    <w:rsid w:val="00585C78"/>
    <w:rsid w:val="005875D8"/>
    <w:rsid w:val="005A0E82"/>
    <w:rsid w:val="005A1D69"/>
    <w:rsid w:val="005A1F67"/>
    <w:rsid w:val="005B4742"/>
    <w:rsid w:val="005E385A"/>
    <w:rsid w:val="005F22A8"/>
    <w:rsid w:val="005F4CC5"/>
    <w:rsid w:val="005F61FD"/>
    <w:rsid w:val="005F7201"/>
    <w:rsid w:val="0060203F"/>
    <w:rsid w:val="006174AF"/>
    <w:rsid w:val="00621CB3"/>
    <w:rsid w:val="00631D8E"/>
    <w:rsid w:val="00686D68"/>
    <w:rsid w:val="006A6171"/>
    <w:rsid w:val="006A6D3E"/>
    <w:rsid w:val="006C13CF"/>
    <w:rsid w:val="006E1DD9"/>
    <w:rsid w:val="006E2389"/>
    <w:rsid w:val="006F119E"/>
    <w:rsid w:val="0070060E"/>
    <w:rsid w:val="00710397"/>
    <w:rsid w:val="007244C0"/>
    <w:rsid w:val="00727A65"/>
    <w:rsid w:val="007367DD"/>
    <w:rsid w:val="007429D0"/>
    <w:rsid w:val="007451E1"/>
    <w:rsid w:val="00746830"/>
    <w:rsid w:val="00756409"/>
    <w:rsid w:val="007760F9"/>
    <w:rsid w:val="00790BB2"/>
    <w:rsid w:val="007D6FFF"/>
    <w:rsid w:val="007F27B6"/>
    <w:rsid w:val="007F6B72"/>
    <w:rsid w:val="00805D67"/>
    <w:rsid w:val="0081066E"/>
    <w:rsid w:val="00810B7A"/>
    <w:rsid w:val="008322C1"/>
    <w:rsid w:val="00853439"/>
    <w:rsid w:val="00857E80"/>
    <w:rsid w:val="00862E04"/>
    <w:rsid w:val="0087398B"/>
    <w:rsid w:val="0089541B"/>
    <w:rsid w:val="00896937"/>
    <w:rsid w:val="008B56CD"/>
    <w:rsid w:val="008C2CF5"/>
    <w:rsid w:val="008C41BE"/>
    <w:rsid w:val="008C5998"/>
    <w:rsid w:val="008D6C39"/>
    <w:rsid w:val="008F45A7"/>
    <w:rsid w:val="008F7BB4"/>
    <w:rsid w:val="00901CB0"/>
    <w:rsid w:val="00926652"/>
    <w:rsid w:val="00927BB7"/>
    <w:rsid w:val="00942E3B"/>
    <w:rsid w:val="0095723B"/>
    <w:rsid w:val="00962073"/>
    <w:rsid w:val="0096591B"/>
    <w:rsid w:val="00966265"/>
    <w:rsid w:val="00967FDE"/>
    <w:rsid w:val="00974160"/>
    <w:rsid w:val="0097664E"/>
    <w:rsid w:val="0098356F"/>
    <w:rsid w:val="009841BA"/>
    <w:rsid w:val="00996890"/>
    <w:rsid w:val="009A5D84"/>
    <w:rsid w:val="009C67E1"/>
    <w:rsid w:val="009D5F6F"/>
    <w:rsid w:val="009E3152"/>
    <w:rsid w:val="009E4556"/>
    <w:rsid w:val="00A05680"/>
    <w:rsid w:val="00A41348"/>
    <w:rsid w:val="00A52A4C"/>
    <w:rsid w:val="00A767C4"/>
    <w:rsid w:val="00A775D6"/>
    <w:rsid w:val="00A8259E"/>
    <w:rsid w:val="00A85AE6"/>
    <w:rsid w:val="00A87D5D"/>
    <w:rsid w:val="00A92193"/>
    <w:rsid w:val="00A93F52"/>
    <w:rsid w:val="00AB39C2"/>
    <w:rsid w:val="00AD2195"/>
    <w:rsid w:val="00AD7718"/>
    <w:rsid w:val="00AE02B1"/>
    <w:rsid w:val="00AE112B"/>
    <w:rsid w:val="00AE6331"/>
    <w:rsid w:val="00B031E0"/>
    <w:rsid w:val="00B20AA9"/>
    <w:rsid w:val="00B242FF"/>
    <w:rsid w:val="00B2566B"/>
    <w:rsid w:val="00B3622A"/>
    <w:rsid w:val="00B432B2"/>
    <w:rsid w:val="00B469A0"/>
    <w:rsid w:val="00B527B3"/>
    <w:rsid w:val="00B5517F"/>
    <w:rsid w:val="00B63DDE"/>
    <w:rsid w:val="00B75962"/>
    <w:rsid w:val="00B922AC"/>
    <w:rsid w:val="00B93866"/>
    <w:rsid w:val="00BA2933"/>
    <w:rsid w:val="00BA4486"/>
    <w:rsid w:val="00BA50EE"/>
    <w:rsid w:val="00BB0B3B"/>
    <w:rsid w:val="00BB592A"/>
    <w:rsid w:val="00BC29F9"/>
    <w:rsid w:val="00BC6762"/>
    <w:rsid w:val="00BE0DD0"/>
    <w:rsid w:val="00BF77EB"/>
    <w:rsid w:val="00C0408C"/>
    <w:rsid w:val="00C05C78"/>
    <w:rsid w:val="00C0699D"/>
    <w:rsid w:val="00C07BDD"/>
    <w:rsid w:val="00C20E89"/>
    <w:rsid w:val="00C24715"/>
    <w:rsid w:val="00C3093E"/>
    <w:rsid w:val="00C32FBB"/>
    <w:rsid w:val="00C42B7A"/>
    <w:rsid w:val="00C44BFE"/>
    <w:rsid w:val="00C514B3"/>
    <w:rsid w:val="00C55022"/>
    <w:rsid w:val="00C709D9"/>
    <w:rsid w:val="00C80DFB"/>
    <w:rsid w:val="00C8158C"/>
    <w:rsid w:val="00C839B2"/>
    <w:rsid w:val="00C8675F"/>
    <w:rsid w:val="00C975ED"/>
    <w:rsid w:val="00CA6D6A"/>
    <w:rsid w:val="00CD341C"/>
    <w:rsid w:val="00CE0EFA"/>
    <w:rsid w:val="00CE45C9"/>
    <w:rsid w:val="00CE6B8D"/>
    <w:rsid w:val="00CE73E6"/>
    <w:rsid w:val="00D12C0C"/>
    <w:rsid w:val="00D13671"/>
    <w:rsid w:val="00D1526C"/>
    <w:rsid w:val="00D17D11"/>
    <w:rsid w:val="00D24397"/>
    <w:rsid w:val="00D25043"/>
    <w:rsid w:val="00D4244D"/>
    <w:rsid w:val="00D46AEF"/>
    <w:rsid w:val="00D47594"/>
    <w:rsid w:val="00D803B1"/>
    <w:rsid w:val="00D840EB"/>
    <w:rsid w:val="00D86219"/>
    <w:rsid w:val="00DA607B"/>
    <w:rsid w:val="00DC10EF"/>
    <w:rsid w:val="00DC1C79"/>
    <w:rsid w:val="00DD068B"/>
    <w:rsid w:val="00DD5858"/>
    <w:rsid w:val="00DE25C7"/>
    <w:rsid w:val="00E13E18"/>
    <w:rsid w:val="00E14A65"/>
    <w:rsid w:val="00E23266"/>
    <w:rsid w:val="00E237F0"/>
    <w:rsid w:val="00E26E8B"/>
    <w:rsid w:val="00E46C09"/>
    <w:rsid w:val="00E873D5"/>
    <w:rsid w:val="00EA2DD6"/>
    <w:rsid w:val="00EB294F"/>
    <w:rsid w:val="00EC5070"/>
    <w:rsid w:val="00EE6E8D"/>
    <w:rsid w:val="00F0036C"/>
    <w:rsid w:val="00F1135D"/>
    <w:rsid w:val="00F14933"/>
    <w:rsid w:val="00F16104"/>
    <w:rsid w:val="00F32F5C"/>
    <w:rsid w:val="00F40B88"/>
    <w:rsid w:val="00F43CFD"/>
    <w:rsid w:val="00F43D65"/>
    <w:rsid w:val="00F500E5"/>
    <w:rsid w:val="00F70541"/>
    <w:rsid w:val="00F70781"/>
    <w:rsid w:val="00F90510"/>
    <w:rsid w:val="00F96FFF"/>
    <w:rsid w:val="00FA47C6"/>
    <w:rsid w:val="00FA50B6"/>
    <w:rsid w:val="00FB4569"/>
    <w:rsid w:val="00FC2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CB720"/>
  <w15:docId w15:val="{223D0CC4-FE80-C24C-A4CB-63AF68A7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7AF"/>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7AF"/>
    <w:pPr>
      <w:ind w:left="720"/>
    </w:pPr>
  </w:style>
  <w:style w:type="paragraph" w:styleId="FootnoteText">
    <w:name w:val="footnote text"/>
    <w:basedOn w:val="Normal"/>
    <w:link w:val="FootnoteTextChar"/>
    <w:uiPriority w:val="99"/>
    <w:semiHidden/>
    <w:unhideWhenUsed/>
    <w:rsid w:val="001547AF"/>
    <w:rPr>
      <w:sz w:val="20"/>
      <w:szCs w:val="20"/>
    </w:rPr>
  </w:style>
  <w:style w:type="character" w:customStyle="1" w:styleId="FootnoteTextChar">
    <w:name w:val="Footnote Text Char"/>
    <w:link w:val="FootnoteText"/>
    <w:uiPriority w:val="99"/>
    <w:semiHidden/>
    <w:rsid w:val="001547AF"/>
    <w:rPr>
      <w:rFonts w:ascii="Times New Roman" w:hAnsi="Times New Roman" w:cs="Times New Roman"/>
      <w:sz w:val="20"/>
      <w:szCs w:val="20"/>
    </w:rPr>
  </w:style>
  <w:style w:type="character" w:styleId="FootnoteReference">
    <w:name w:val="footnote reference"/>
    <w:aliases w:val="ftref,16 Point,Superscript 6 Point,Знак сноски-FN"/>
    <w:uiPriority w:val="99"/>
    <w:rsid w:val="001547AF"/>
    <w:rPr>
      <w:rFonts w:cs="Times New Roman"/>
      <w:vertAlign w:val="superscript"/>
    </w:rPr>
  </w:style>
  <w:style w:type="paragraph" w:customStyle="1" w:styleId="Default">
    <w:name w:val="Default"/>
    <w:basedOn w:val="Normal"/>
    <w:rsid w:val="00962073"/>
    <w:pPr>
      <w:autoSpaceDE w:val="0"/>
      <w:autoSpaceDN w:val="0"/>
    </w:pPr>
    <w:rPr>
      <w:rFonts w:eastAsia="SimSun"/>
      <w:color w:val="000000"/>
      <w:lang w:val="en-GB" w:eastAsia="zh-CN"/>
    </w:rPr>
  </w:style>
  <w:style w:type="paragraph" w:styleId="BalloonText">
    <w:name w:val="Balloon Text"/>
    <w:basedOn w:val="Normal"/>
    <w:link w:val="BalloonTextChar"/>
    <w:uiPriority w:val="99"/>
    <w:semiHidden/>
    <w:unhideWhenUsed/>
    <w:rsid w:val="005848F7"/>
    <w:rPr>
      <w:rFonts w:ascii="Tahoma" w:hAnsi="Tahoma"/>
      <w:sz w:val="16"/>
      <w:szCs w:val="16"/>
    </w:rPr>
  </w:style>
  <w:style w:type="character" w:customStyle="1" w:styleId="BalloonTextChar">
    <w:name w:val="Balloon Text Char"/>
    <w:link w:val="BalloonText"/>
    <w:uiPriority w:val="99"/>
    <w:semiHidden/>
    <w:rsid w:val="005848F7"/>
    <w:rPr>
      <w:rFonts w:ascii="Tahoma" w:hAnsi="Tahoma" w:cs="Tahoma"/>
      <w:sz w:val="16"/>
      <w:szCs w:val="16"/>
    </w:rPr>
  </w:style>
  <w:style w:type="paragraph" w:styleId="NoSpacing">
    <w:name w:val="No Spacing"/>
    <w:uiPriority w:val="1"/>
    <w:qFormat/>
    <w:rsid w:val="007D6FFF"/>
    <w:rPr>
      <w:rFonts w:eastAsia="Times New Roman" w:cs="Times New Roman"/>
      <w:sz w:val="22"/>
      <w:szCs w:val="22"/>
    </w:rPr>
  </w:style>
  <w:style w:type="character" w:styleId="CommentReference">
    <w:name w:val="annotation reference"/>
    <w:uiPriority w:val="99"/>
    <w:semiHidden/>
    <w:unhideWhenUsed/>
    <w:rsid w:val="003B03AA"/>
    <w:rPr>
      <w:sz w:val="16"/>
      <w:szCs w:val="16"/>
    </w:rPr>
  </w:style>
  <w:style w:type="paragraph" w:styleId="CommentText">
    <w:name w:val="annotation text"/>
    <w:basedOn w:val="Normal"/>
    <w:link w:val="CommentTextChar"/>
    <w:uiPriority w:val="99"/>
    <w:semiHidden/>
    <w:unhideWhenUsed/>
    <w:rsid w:val="003B03AA"/>
    <w:rPr>
      <w:sz w:val="20"/>
      <w:szCs w:val="20"/>
    </w:rPr>
  </w:style>
  <w:style w:type="character" w:customStyle="1" w:styleId="CommentTextChar">
    <w:name w:val="Comment Text Char"/>
    <w:link w:val="CommentText"/>
    <w:uiPriority w:val="99"/>
    <w:semiHidden/>
    <w:rsid w:val="003B03A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03AA"/>
    <w:rPr>
      <w:b/>
      <w:bCs/>
    </w:rPr>
  </w:style>
  <w:style w:type="character" w:customStyle="1" w:styleId="CommentSubjectChar">
    <w:name w:val="Comment Subject Char"/>
    <w:link w:val="CommentSubject"/>
    <w:uiPriority w:val="99"/>
    <w:semiHidden/>
    <w:rsid w:val="003B03AA"/>
    <w:rPr>
      <w:rFonts w:ascii="Times New Roman" w:hAnsi="Times New Roman" w:cs="Times New Roman"/>
      <w:b/>
      <w:bCs/>
      <w:sz w:val="20"/>
      <w:szCs w:val="20"/>
    </w:rPr>
  </w:style>
  <w:style w:type="table" w:styleId="TableGrid">
    <w:name w:val="Table Grid"/>
    <w:basedOn w:val="TableNormal"/>
    <w:uiPriority w:val="59"/>
    <w:rsid w:val="009766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3">
    <w:name w:val="Pa3"/>
    <w:basedOn w:val="Normal"/>
    <w:next w:val="Normal"/>
    <w:uiPriority w:val="99"/>
    <w:rsid w:val="00DE25C7"/>
    <w:pPr>
      <w:widowControl w:val="0"/>
      <w:autoSpaceDE w:val="0"/>
      <w:autoSpaceDN w:val="0"/>
      <w:adjustRightInd w:val="0"/>
      <w:spacing w:line="181" w:lineRule="atLeast"/>
    </w:pPr>
    <w:rPr>
      <w:rFonts w:ascii="Helvetica 65 Medium" w:eastAsiaTheme="minorEastAsia" w:hAnsi="Helvetica 65 Medium" w:cstheme="minorBid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96249">
      <w:bodyDiv w:val="1"/>
      <w:marLeft w:val="0"/>
      <w:marRight w:val="0"/>
      <w:marTop w:val="0"/>
      <w:marBottom w:val="0"/>
      <w:divBdr>
        <w:top w:val="none" w:sz="0" w:space="0" w:color="auto"/>
        <w:left w:val="none" w:sz="0" w:space="0" w:color="auto"/>
        <w:bottom w:val="none" w:sz="0" w:space="0" w:color="auto"/>
        <w:right w:val="none" w:sz="0" w:space="0" w:color="auto"/>
      </w:divBdr>
    </w:div>
    <w:div w:id="151145628">
      <w:bodyDiv w:val="1"/>
      <w:marLeft w:val="0"/>
      <w:marRight w:val="0"/>
      <w:marTop w:val="0"/>
      <w:marBottom w:val="0"/>
      <w:divBdr>
        <w:top w:val="none" w:sz="0" w:space="0" w:color="auto"/>
        <w:left w:val="none" w:sz="0" w:space="0" w:color="auto"/>
        <w:bottom w:val="none" w:sz="0" w:space="0" w:color="auto"/>
        <w:right w:val="none" w:sz="0" w:space="0" w:color="auto"/>
      </w:divBdr>
    </w:div>
    <w:div w:id="181941872">
      <w:bodyDiv w:val="1"/>
      <w:marLeft w:val="0"/>
      <w:marRight w:val="0"/>
      <w:marTop w:val="0"/>
      <w:marBottom w:val="0"/>
      <w:divBdr>
        <w:top w:val="none" w:sz="0" w:space="0" w:color="auto"/>
        <w:left w:val="none" w:sz="0" w:space="0" w:color="auto"/>
        <w:bottom w:val="none" w:sz="0" w:space="0" w:color="auto"/>
        <w:right w:val="none" w:sz="0" w:space="0" w:color="auto"/>
      </w:divBdr>
    </w:div>
    <w:div w:id="532232154">
      <w:bodyDiv w:val="1"/>
      <w:marLeft w:val="0"/>
      <w:marRight w:val="0"/>
      <w:marTop w:val="0"/>
      <w:marBottom w:val="0"/>
      <w:divBdr>
        <w:top w:val="none" w:sz="0" w:space="0" w:color="auto"/>
        <w:left w:val="none" w:sz="0" w:space="0" w:color="auto"/>
        <w:bottom w:val="none" w:sz="0" w:space="0" w:color="auto"/>
        <w:right w:val="none" w:sz="0" w:space="0" w:color="auto"/>
      </w:divBdr>
    </w:div>
    <w:div w:id="922567658">
      <w:bodyDiv w:val="1"/>
      <w:marLeft w:val="0"/>
      <w:marRight w:val="0"/>
      <w:marTop w:val="0"/>
      <w:marBottom w:val="0"/>
      <w:divBdr>
        <w:top w:val="none" w:sz="0" w:space="0" w:color="auto"/>
        <w:left w:val="none" w:sz="0" w:space="0" w:color="auto"/>
        <w:bottom w:val="none" w:sz="0" w:space="0" w:color="auto"/>
        <w:right w:val="none" w:sz="0" w:space="0" w:color="auto"/>
      </w:divBdr>
      <w:divsChild>
        <w:div w:id="815143739">
          <w:marLeft w:val="0"/>
          <w:marRight w:val="0"/>
          <w:marTop w:val="0"/>
          <w:marBottom w:val="0"/>
          <w:divBdr>
            <w:top w:val="none" w:sz="0" w:space="0" w:color="auto"/>
            <w:left w:val="none" w:sz="0" w:space="0" w:color="auto"/>
            <w:bottom w:val="none" w:sz="0" w:space="0" w:color="auto"/>
            <w:right w:val="none" w:sz="0" w:space="0" w:color="auto"/>
          </w:divBdr>
        </w:div>
      </w:divsChild>
    </w:div>
    <w:div w:id="1954090161">
      <w:bodyDiv w:val="1"/>
      <w:marLeft w:val="0"/>
      <w:marRight w:val="0"/>
      <w:marTop w:val="0"/>
      <w:marBottom w:val="0"/>
      <w:divBdr>
        <w:top w:val="none" w:sz="0" w:space="0" w:color="auto"/>
        <w:left w:val="none" w:sz="0" w:space="0" w:color="auto"/>
        <w:bottom w:val="none" w:sz="0" w:space="0" w:color="auto"/>
        <w:right w:val="none" w:sz="0" w:space="0" w:color="auto"/>
      </w:divBdr>
    </w:div>
    <w:div w:id="203949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31E88-3B8B-4525-AAA0-8BE57C7B9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9629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Dlamini, Dr. Sithembile - SZ</dc:creator>
  <cp:lastModifiedBy>Khatuna Kapanadze</cp:lastModifiedBy>
  <cp:revision>10</cp:revision>
  <cp:lastPrinted>2016-07-28T06:45:00Z</cp:lastPrinted>
  <dcterms:created xsi:type="dcterms:W3CDTF">2021-10-07T09:14:00Z</dcterms:created>
  <dcterms:modified xsi:type="dcterms:W3CDTF">2021-10-13T13:04:00Z</dcterms:modified>
</cp:coreProperties>
</file>