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384211324"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384211324"/>
      <w:r w:rsidRPr="00886AA7">
        <w:rPr>
          <w:rFonts w:ascii="Sylfaen" w:hAnsi="Sylfaen"/>
          <w:b/>
          <w:bCs/>
          <w:sz w:val="20"/>
          <w:szCs w:val="20"/>
          <w:lang w:val="ka-GE"/>
        </w:rPr>
        <w:t xml:space="preserve"> ხელშეკრულებ</w:t>
      </w:r>
      <w:permStart w:id="375478378" w:edGrp="everyone"/>
      <w:r w:rsidR="00105838" w:rsidRPr="00886AA7">
        <w:rPr>
          <w:rFonts w:ascii="Sylfaen" w:hAnsi="Sylfaen"/>
          <w:b/>
          <w:bCs/>
          <w:sz w:val="20"/>
          <w:szCs w:val="20"/>
          <w:lang w:val="ka-GE"/>
        </w:rPr>
        <w:t>ის პროექტი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939014132" w:edGrp="everyone"/>
            <w:permEnd w:id="375478378"/>
            <w:proofErr w:type="spellStart"/>
            <w:r w:rsidRPr="003947EB">
              <w:rPr>
                <w:rFonts w:ascii="Sylfaen" w:hAnsi="Sylfaen"/>
                <w:lang w:val="ka-GE"/>
              </w:rPr>
              <w:t>ქ.თბილისი</w:t>
            </w:r>
            <w:permEnd w:id="939014132"/>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259026627" w:edGrp="everyone"/>
            <w:r w:rsidRPr="003947EB">
              <w:rPr>
                <w:rFonts w:ascii="Sylfaen" w:hAnsi="Sylfaen"/>
                <w:lang w:val="ka-GE"/>
              </w:rPr>
              <w:t xml:space="preserve">_____________ </w:t>
            </w:r>
            <w:permEnd w:id="259026627"/>
          </w:p>
        </w:tc>
      </w:tr>
    </w:tbl>
    <w:p w:rsidR="00B755A9" w:rsidRPr="003947EB" w:rsidRDefault="00B755A9" w:rsidP="004779FC">
      <w:pPr>
        <w:pStyle w:val="ListParagraph"/>
        <w:spacing w:afterLines="200" w:after="480" w:line="276" w:lineRule="auto"/>
        <w:ind w:left="0"/>
        <w:mirrorIndents/>
        <w:jc w:val="both"/>
        <w:rPr>
          <w:rFonts w:ascii="Sylfaen" w:hAnsi="Sylfaen"/>
          <w:bCs/>
          <w:sz w:val="20"/>
          <w:szCs w:val="20"/>
          <w:lang w:val="ka-GE"/>
        </w:rPr>
      </w:pPr>
    </w:p>
    <w:p w:rsidR="00876F70" w:rsidRPr="00ED3823"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622033765" w:edGrp="everyone"/>
      <w:r w:rsidRPr="003947EB">
        <w:rPr>
          <w:rFonts w:ascii="Sylfaen" w:hAnsi="Sylfaen" w:cs="Sylfaen"/>
          <w:sz w:val="20"/>
          <w:szCs w:val="20"/>
          <w:lang w:val="ka-GE"/>
        </w:rPr>
        <w:t xml:space="preserve">_________________ _________________ </w:t>
      </w:r>
      <w:permEnd w:id="622033765"/>
      <w:r w:rsidRPr="003947EB">
        <w:rPr>
          <w:rFonts w:ascii="Sylfaen" w:hAnsi="Sylfaen" w:cs="Sylfaen"/>
          <w:sz w:val="20"/>
          <w:szCs w:val="20"/>
          <w:lang w:val="ka-GE"/>
        </w:rPr>
        <w:t xml:space="preserve">შემდგომში „შემსყიდველი“, წარმოდგენილი მისი </w:t>
      </w:r>
      <w:permStart w:id="2076799470" w:edGrp="everyone"/>
      <w:r w:rsidRPr="003947EB">
        <w:rPr>
          <w:bCs/>
          <w:sz w:val="20"/>
          <w:szCs w:val="20"/>
        </w:rPr>
        <w:t>_________________</w:t>
      </w:r>
      <w:permEnd w:id="2076799470"/>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r w:rsidR="00F328C1">
        <w:rPr>
          <w:rFonts w:ascii="Sylfaen" w:hAnsi="Sylfaen" w:cs="Sylfaen"/>
          <w:sz w:val="20"/>
          <w:szCs w:val="20"/>
          <w:lang w:val="ka-GE"/>
        </w:rPr>
        <w:t xml:space="preserve">შპს </w:t>
      </w:r>
      <w:r w:rsidR="00F328C1" w:rsidRPr="00B251B5">
        <w:rPr>
          <w:rFonts w:ascii="Sylfaen" w:hAnsi="Sylfaen" w:cs="Sylfaen"/>
          <w:sz w:val="20"/>
          <w:szCs w:val="20"/>
        </w:rPr>
        <w:t>„</w:t>
      </w:r>
      <w:proofErr w:type="spellStart"/>
      <w:r w:rsidR="00730635">
        <w:rPr>
          <w:rFonts w:ascii="Sylfaen" w:hAnsi="Sylfaen" w:cs="Sylfaen"/>
          <w:sz w:val="20"/>
          <w:szCs w:val="20"/>
          <w:lang w:val="ka-GE"/>
        </w:rPr>
        <w:t>პრიმაქს</w:t>
      </w:r>
      <w:proofErr w:type="spellEnd"/>
      <w:r w:rsidR="00730635">
        <w:rPr>
          <w:rFonts w:ascii="Sylfaen" w:hAnsi="Sylfaen" w:cs="Sylfaen"/>
          <w:sz w:val="20"/>
          <w:szCs w:val="20"/>
          <w:lang w:val="ka-GE"/>
        </w:rPr>
        <w:t>-ჯორჯია</w:t>
      </w:r>
      <w:r w:rsidR="00F328C1" w:rsidRPr="00B251B5">
        <w:rPr>
          <w:rFonts w:ascii="Sylfaen" w:hAnsi="Sylfaen" w:cs="Sylfaen"/>
          <w:sz w:val="20"/>
          <w:szCs w:val="20"/>
        </w:rPr>
        <w:t xml:space="preserve">“ (ს/კ </w:t>
      </w:r>
      <w:r w:rsidR="00730635">
        <w:rPr>
          <w:rFonts w:ascii="Sylfaen" w:hAnsi="Sylfaen" w:cs="Sylfaen"/>
          <w:bCs/>
          <w:sz w:val="20"/>
          <w:szCs w:val="20"/>
        </w:rPr>
        <w:t>404421185</w:t>
      </w:r>
      <w:r w:rsidR="00F328C1" w:rsidRPr="00B251B5">
        <w:rPr>
          <w:rFonts w:ascii="Sylfaen" w:hAnsi="Sylfaen" w:cs="Sylfaen"/>
          <w:sz w:val="20"/>
          <w:szCs w:val="20"/>
        </w:rPr>
        <w:t>)</w:t>
      </w:r>
      <w:r w:rsidR="00F328C1">
        <w:rPr>
          <w:rFonts w:ascii="Sylfaen" w:hAnsi="Sylfaen" w:cs="Sylfaen"/>
          <w:sz w:val="20"/>
          <w:szCs w:val="20"/>
          <w:lang w:val="ka-GE"/>
        </w:rPr>
        <w:t>,</w:t>
      </w:r>
      <w:r w:rsidRPr="003947EB">
        <w:rPr>
          <w:b/>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2054234774" w:edGrp="everyone"/>
      <w:r w:rsidRPr="003947EB">
        <w:rPr>
          <w:bCs/>
          <w:sz w:val="20"/>
          <w:szCs w:val="20"/>
        </w:rPr>
        <w:t>_________________</w:t>
      </w:r>
      <w:permEnd w:id="2054234774"/>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w:t>
      </w:r>
      <w:r w:rsidRPr="00ED3823">
        <w:rPr>
          <w:rFonts w:ascii="Sylfaen" w:hAnsi="Sylfaen" w:cs="Sylfaen"/>
          <w:bCs/>
          <w:sz w:val="20"/>
          <w:szCs w:val="20"/>
        </w:rPr>
        <w:t xml:space="preserve">შესახებ", </w:t>
      </w:r>
      <w:bookmarkStart w:id="1" w:name="_Hlk536010479"/>
      <w:r w:rsidR="00436037" w:rsidRPr="00ED3823">
        <w:rPr>
          <w:rFonts w:ascii="Sylfaen" w:hAnsi="Sylfaen" w:cs="Sylfaen"/>
          <w:bCs/>
          <w:sz w:val="20"/>
          <w:szCs w:val="20"/>
        </w:rPr>
        <w:t>„202</w:t>
      </w:r>
      <w:r w:rsidR="00971AD5" w:rsidRPr="00ED3823">
        <w:rPr>
          <w:rFonts w:ascii="Sylfaen" w:hAnsi="Sylfaen" w:cs="Sylfaen"/>
          <w:bCs/>
          <w:sz w:val="20"/>
          <w:szCs w:val="20"/>
          <w:lang w:val="ka-GE"/>
        </w:rPr>
        <w:t>5</w:t>
      </w:r>
      <w:r w:rsidR="00436037" w:rsidRPr="00ED3823">
        <w:rPr>
          <w:rFonts w:ascii="Sylfaen" w:hAnsi="Sylfaen" w:cs="Sylfaen"/>
          <w:bCs/>
          <w:sz w:val="20"/>
          <w:szCs w:val="20"/>
          <w:lang w:val="ka-GE"/>
        </w:rPr>
        <w:t>-</w:t>
      </w:r>
      <w:r w:rsidR="00436037" w:rsidRPr="00ED3823">
        <w:rPr>
          <w:rFonts w:ascii="Sylfaen" w:hAnsi="Sylfaen" w:cs="Sylfaen"/>
          <w:bCs/>
          <w:sz w:val="20"/>
          <w:szCs w:val="20"/>
        </w:rPr>
        <w:t>202</w:t>
      </w:r>
      <w:r w:rsidR="00971AD5" w:rsidRPr="00ED3823">
        <w:rPr>
          <w:rFonts w:ascii="Sylfaen" w:hAnsi="Sylfaen" w:cs="Sylfaen"/>
          <w:bCs/>
          <w:sz w:val="20"/>
          <w:szCs w:val="20"/>
          <w:lang w:val="ka-GE"/>
        </w:rPr>
        <w:t>6</w:t>
      </w:r>
      <w:r w:rsidR="00436037" w:rsidRPr="00ED3823">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 202</w:t>
      </w:r>
      <w:r w:rsidR="00971AD5" w:rsidRPr="00ED3823">
        <w:rPr>
          <w:rFonts w:ascii="Sylfaen" w:hAnsi="Sylfaen" w:cs="Sylfaen"/>
          <w:bCs/>
          <w:sz w:val="20"/>
          <w:szCs w:val="20"/>
          <w:lang w:val="ka-GE"/>
        </w:rPr>
        <w:t>4</w:t>
      </w:r>
      <w:r w:rsidR="00436037" w:rsidRPr="00ED3823">
        <w:rPr>
          <w:rFonts w:ascii="Sylfaen" w:hAnsi="Sylfaen" w:cs="Sylfaen"/>
          <w:bCs/>
          <w:sz w:val="20"/>
          <w:szCs w:val="20"/>
        </w:rPr>
        <w:t xml:space="preserve"> წლის</w:t>
      </w:r>
      <w:r w:rsidR="003C1466">
        <w:rPr>
          <w:rFonts w:ascii="Sylfaen" w:hAnsi="Sylfaen" w:cs="Sylfaen"/>
          <w:bCs/>
          <w:sz w:val="20"/>
          <w:szCs w:val="20"/>
          <w:lang w:val="ka-GE"/>
        </w:rPr>
        <w:t xml:space="preserve"> </w:t>
      </w:r>
      <w:r w:rsidR="00ED3823" w:rsidRPr="00ED3823">
        <w:rPr>
          <w:rFonts w:ascii="Sylfaen" w:hAnsi="Sylfaen" w:cs="Sylfaen"/>
          <w:bCs/>
          <w:sz w:val="20"/>
          <w:szCs w:val="20"/>
          <w:lang w:val="ka-GE"/>
        </w:rPr>
        <w:t xml:space="preserve">7 ოქტომბრის </w:t>
      </w:r>
      <w:r w:rsidR="00436037" w:rsidRPr="00ED3823">
        <w:rPr>
          <w:rFonts w:ascii="Sylfaen" w:hAnsi="Sylfaen" w:cs="Sylfaen"/>
          <w:bCs/>
          <w:sz w:val="20"/>
          <w:szCs w:val="20"/>
        </w:rPr>
        <w:t>N</w:t>
      </w:r>
      <w:r w:rsidR="00ED3823" w:rsidRPr="00ED3823">
        <w:rPr>
          <w:rFonts w:ascii="Sylfaen" w:hAnsi="Sylfaen" w:cs="Sylfaen"/>
          <w:bCs/>
          <w:sz w:val="20"/>
          <w:szCs w:val="20"/>
          <w:lang w:val="ka-GE"/>
        </w:rPr>
        <w:t>1436</w:t>
      </w:r>
      <w:r w:rsidR="00436037" w:rsidRPr="00ED3823">
        <w:rPr>
          <w:rFonts w:ascii="Sylfaen" w:hAnsi="Sylfaen" w:cs="Sylfaen"/>
          <w:bCs/>
          <w:sz w:val="20"/>
          <w:szCs w:val="20"/>
        </w:rPr>
        <w:t xml:space="preserve"> განკარგულების </w:t>
      </w:r>
      <w:r w:rsidR="00436037" w:rsidRPr="00ED3823">
        <w:rPr>
          <w:rFonts w:ascii="Sylfaen" w:hAnsi="Sylfaen" w:cs="Sylfaen"/>
          <w:bCs/>
          <w:sz w:val="20"/>
          <w:szCs w:val="20"/>
          <w:lang w:val="ka-GE"/>
        </w:rPr>
        <w:t>პირველი მუხლის „კ“ ქვეპუნქტის</w:t>
      </w:r>
      <w:r w:rsidR="00436037" w:rsidRPr="00ED3823">
        <w:rPr>
          <w:rFonts w:ascii="Sylfaen" w:hAnsi="Sylfaen" w:cs="Sylfaen"/>
          <w:bCs/>
          <w:sz w:val="20"/>
          <w:szCs w:val="20"/>
        </w:rPr>
        <w:t xml:space="preserve">  საფუძველზე,</w:t>
      </w:r>
      <w:bookmarkEnd w:id="1"/>
      <w:r w:rsidR="00436037" w:rsidRPr="00ED3823">
        <w:rPr>
          <w:rFonts w:ascii="Sylfaen" w:hAnsi="Sylfaen" w:cs="Sylfaen"/>
          <w:bCs/>
          <w:sz w:val="20"/>
          <w:szCs w:val="20"/>
        </w:rPr>
        <w:t xml:space="preserve"> ვდებთ წინამდებარე ხელშეკრულებას შემდეგზე:</w:t>
      </w:r>
    </w:p>
    <w:p w:rsidR="00364492"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263D3E" w:rsidRPr="00886AA7" w:rsidRDefault="00263D3E"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F328C1" w:rsidRPr="00886AA7">
        <w:rPr>
          <w:rFonts w:ascii="Sylfaen" w:hAnsi="Sylfaen" w:cs="Sylfaen"/>
          <w:sz w:val="20"/>
          <w:szCs w:val="20"/>
        </w:rPr>
        <w:t>CON</w:t>
      </w:r>
      <w:r w:rsidR="0029487F">
        <w:rPr>
          <w:rFonts w:ascii="Sylfaen" w:hAnsi="Sylfaen" w:cs="Sylfaen"/>
          <w:bCs/>
          <w:sz w:val="20"/>
          <w:szCs w:val="20"/>
        </w:rPr>
        <w:t>240000325</w:t>
      </w:r>
      <w:r w:rsidR="00F328C1">
        <w:rPr>
          <w:rFonts w:ascii="Sylfaen" w:hAnsi="Sylfaen" w:cs="Sylfaen"/>
          <w:bCs/>
          <w:sz w:val="20"/>
          <w:szCs w:val="20"/>
          <w:lang w:val="ka-GE"/>
        </w:rPr>
        <w:t xml:space="preserve"> </w:t>
      </w:r>
      <w:r w:rsidRPr="00886AA7">
        <w:rPr>
          <w:rFonts w:ascii="Sylfaen" w:hAnsi="Sylfaen" w:cs="Sylfaen"/>
          <w:bCs/>
          <w:sz w:val="20"/>
          <w:szCs w:val="20"/>
          <w:lang w:val="ka-GE"/>
        </w:rPr>
        <w:t xml:space="preserve">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w:t>
      </w:r>
      <w:r w:rsidRPr="00886AA7">
        <w:rPr>
          <w:rFonts w:ascii="Sylfaen" w:hAnsi="Sylfaen" w:cs="Sylfaen"/>
          <w:sz w:val="20"/>
          <w:szCs w:val="20"/>
          <w:lang w:val="ka-GE"/>
        </w:rPr>
        <w:lastRenderedPageBreak/>
        <w:t xml:space="preserve">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w:t>
      </w:r>
      <w:r w:rsidRPr="00ED3823">
        <w:rPr>
          <w:rFonts w:ascii="Sylfaen" w:hAnsi="Sylfaen" w:cs="Sylfaen"/>
          <w:sz w:val="20"/>
          <w:szCs w:val="20"/>
          <w:lang w:val="ka-GE"/>
        </w:rPr>
        <w:t xml:space="preserve">(შემდგომში „კომისია“) - </w:t>
      </w:r>
      <w:r w:rsidR="00FD3931" w:rsidRPr="00ED3823">
        <w:rPr>
          <w:rFonts w:ascii="Sylfaen" w:hAnsi="Sylfaen" w:cs="Sylfaen"/>
          <w:bCs/>
          <w:sz w:val="20"/>
          <w:szCs w:val="20"/>
        </w:rPr>
        <w:t>202</w:t>
      </w:r>
      <w:r w:rsidR="00971AD5" w:rsidRPr="00ED3823">
        <w:rPr>
          <w:rFonts w:ascii="Sylfaen" w:hAnsi="Sylfaen" w:cs="Sylfaen"/>
          <w:bCs/>
          <w:sz w:val="20"/>
          <w:szCs w:val="20"/>
          <w:lang w:val="ka-GE"/>
        </w:rPr>
        <w:t>5</w:t>
      </w:r>
      <w:r w:rsidR="00FD3931" w:rsidRPr="00ED3823">
        <w:rPr>
          <w:rFonts w:ascii="Sylfaen" w:hAnsi="Sylfaen" w:cs="Sylfaen"/>
          <w:bCs/>
          <w:sz w:val="20"/>
          <w:szCs w:val="20"/>
          <w:lang w:val="ka-GE"/>
        </w:rPr>
        <w:t>-</w:t>
      </w:r>
      <w:r w:rsidR="00FD3931" w:rsidRPr="00ED3823">
        <w:rPr>
          <w:rFonts w:ascii="Sylfaen" w:hAnsi="Sylfaen" w:cs="Sylfaen"/>
          <w:bCs/>
          <w:sz w:val="20"/>
          <w:szCs w:val="20"/>
        </w:rPr>
        <w:t>202</w:t>
      </w:r>
      <w:r w:rsidR="00971AD5" w:rsidRPr="00ED3823">
        <w:rPr>
          <w:rFonts w:ascii="Sylfaen" w:hAnsi="Sylfaen" w:cs="Sylfaen"/>
          <w:bCs/>
          <w:sz w:val="20"/>
          <w:szCs w:val="20"/>
          <w:lang w:val="ka-GE"/>
        </w:rPr>
        <w:t>6</w:t>
      </w:r>
      <w:r w:rsidR="00FD3931" w:rsidRPr="00ED3823">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ED3823">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w:t>
      </w:r>
      <w:proofErr w:type="spellStart"/>
      <w:r w:rsidRPr="004779FC">
        <w:rPr>
          <w:rFonts w:ascii="Sylfaen" w:hAnsi="Sylfaen" w:cs="Sylfaen"/>
          <w:sz w:val="20"/>
          <w:szCs w:val="20"/>
          <w:lang w:val="ka-GE"/>
        </w:rPr>
        <w:t>სატენდერო</w:t>
      </w:r>
      <w:proofErr w:type="spellEnd"/>
      <w:r w:rsidRPr="004779FC">
        <w:rPr>
          <w:rFonts w:ascii="Sylfaen" w:hAnsi="Sylfaen" w:cs="Sylfaen"/>
          <w:sz w:val="20"/>
          <w:szCs w:val="20"/>
          <w:lang w:val="ka-GE"/>
        </w:rPr>
        <w:t xml:space="preserve"> დოკუმენტაცია“ </w:t>
      </w:r>
      <w:r w:rsidR="004779FC">
        <w:rPr>
          <w:rFonts w:ascii="Sylfaen" w:hAnsi="Sylfaen" w:cs="Sylfaen"/>
          <w:sz w:val="20"/>
          <w:szCs w:val="20"/>
        </w:rPr>
        <w:t xml:space="preserve">- </w:t>
      </w:r>
      <w:r w:rsidR="003416D9">
        <w:rPr>
          <w:rFonts w:ascii="Sylfaen" w:hAnsi="Sylfaen" w:cs="Sylfaen"/>
          <w:sz w:val="20"/>
          <w:szCs w:val="20"/>
        </w:rPr>
        <w:t xml:space="preserve">სამედიცინო </w:t>
      </w:r>
      <w:proofErr w:type="spellStart"/>
      <w:r w:rsidR="003416D9">
        <w:rPr>
          <w:rFonts w:ascii="Sylfaen" w:hAnsi="Sylfaen" w:cs="Sylfaen"/>
          <w:sz w:val="20"/>
          <w:szCs w:val="20"/>
        </w:rPr>
        <w:t>მოწყობილობების</w:t>
      </w:r>
      <w:proofErr w:type="spellEnd"/>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971AD5">
        <w:rPr>
          <w:rFonts w:ascii="Sylfaen" w:hAnsi="Sylfaen" w:cs="Sylfaen"/>
          <w:sz w:val="20"/>
          <w:szCs w:val="20"/>
          <w:lang w:val="ka-GE"/>
        </w:rPr>
        <w:t>5</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F328C1" w:rsidRPr="00886AA7">
        <w:rPr>
          <w:rFonts w:ascii="Sylfaen" w:hAnsi="Sylfaen" w:cs="Sylfaen"/>
          <w:sz w:val="20"/>
          <w:szCs w:val="20"/>
        </w:rPr>
        <w:t>CON</w:t>
      </w:r>
      <w:r w:rsidR="00E05769">
        <w:rPr>
          <w:rFonts w:ascii="Sylfaen" w:hAnsi="Sylfaen" w:cs="Sylfaen"/>
          <w:bCs/>
          <w:sz w:val="20"/>
          <w:szCs w:val="20"/>
        </w:rPr>
        <w:t>240000325</w:t>
      </w:r>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w:t>
      </w:r>
      <w:proofErr w:type="spellStart"/>
      <w:r w:rsidR="004779FC" w:rsidRPr="004779FC">
        <w:rPr>
          <w:rFonts w:ascii="Sylfaen" w:hAnsi="Sylfaen" w:cs="Sylfaen"/>
          <w:sz w:val="20"/>
          <w:szCs w:val="20"/>
          <w:lang w:val="ka-GE"/>
        </w:rPr>
        <w:t>სატენდერო</w:t>
      </w:r>
      <w:proofErr w:type="spellEnd"/>
      <w:r w:rsidR="004779FC" w:rsidRPr="004779FC">
        <w:rPr>
          <w:rFonts w:ascii="Sylfaen" w:hAnsi="Sylfaen" w:cs="Sylfaen"/>
          <w:sz w:val="20"/>
          <w:szCs w:val="20"/>
          <w:lang w:val="ka-GE"/>
        </w:rPr>
        <w:t xml:space="preserve"> დოკუმენტაცია, რომელიც შესაძლოა თან არ </w:t>
      </w:r>
      <w:proofErr w:type="spellStart"/>
      <w:r w:rsidR="004779FC" w:rsidRPr="004779FC">
        <w:rPr>
          <w:rFonts w:ascii="Sylfaen" w:hAnsi="Sylfaen" w:cs="Sylfaen"/>
          <w:sz w:val="20"/>
          <w:szCs w:val="20"/>
          <w:lang w:val="ka-GE"/>
        </w:rPr>
        <w:t>ერთვოდეს</w:t>
      </w:r>
      <w:proofErr w:type="spellEnd"/>
      <w:r w:rsidR="004779FC" w:rsidRPr="004779FC">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922963516" w:edGrp="everyone"/>
      <w:r w:rsidRPr="004779FC">
        <w:rPr>
          <w:bCs/>
        </w:rPr>
        <w:t xml:space="preserve">_________________ </w:t>
      </w:r>
      <w:permEnd w:id="1922963516"/>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1422549577" w:edGrp="everyone"/>
      <w:r w:rsidR="00E05769">
        <w:rPr>
          <w:rFonts w:ascii="Sylfaen" w:hAnsi="Sylfaen" w:cs="Sylfaen"/>
          <w:sz w:val="20"/>
          <w:szCs w:val="20"/>
          <w:lang w:val="ka-GE"/>
        </w:rPr>
        <w:t xml:space="preserve">მარლის და </w:t>
      </w:r>
      <w:proofErr w:type="spellStart"/>
      <w:r w:rsidR="00E05769">
        <w:rPr>
          <w:rFonts w:ascii="Sylfaen" w:hAnsi="Sylfaen" w:cs="Sylfaen"/>
          <w:sz w:val="20"/>
          <w:szCs w:val="20"/>
          <w:lang w:val="ka-GE"/>
        </w:rPr>
        <w:t>ბახილების</w:t>
      </w:r>
      <w:proofErr w:type="spellEnd"/>
      <w:r w:rsidR="00F328C1" w:rsidRPr="004779FC">
        <w:rPr>
          <w:rFonts w:ascii="Sylfaen" w:hAnsi="Sylfaen" w:cs="Sylfaen"/>
          <w:sz w:val="20"/>
          <w:szCs w:val="20"/>
          <w:lang w:val="ka-GE"/>
        </w:rPr>
        <w:t xml:space="preserve"> </w:t>
      </w:r>
      <w:permEnd w:id="1422549577"/>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00F328C1" w:rsidRPr="00886AA7">
        <w:rPr>
          <w:rFonts w:ascii="Sylfaen" w:hAnsi="Sylfaen" w:cs="Sylfaen"/>
          <w:sz w:val="20"/>
          <w:szCs w:val="20"/>
        </w:rPr>
        <w:t>CON</w:t>
      </w:r>
      <w:r w:rsidR="00F328C1" w:rsidRPr="00B251B5">
        <w:rPr>
          <w:rFonts w:ascii="Sylfaen" w:hAnsi="Sylfaen" w:cs="Sylfaen"/>
          <w:bCs/>
          <w:sz w:val="20"/>
          <w:szCs w:val="20"/>
        </w:rPr>
        <w:t>2400003</w:t>
      </w:r>
      <w:r w:rsidR="00E05769">
        <w:rPr>
          <w:rFonts w:ascii="Sylfaen" w:hAnsi="Sylfaen" w:cs="Sylfaen"/>
          <w:bCs/>
          <w:sz w:val="20"/>
          <w:szCs w:val="20"/>
          <w:lang w:val="ka-GE"/>
        </w:rPr>
        <w:t>25</w:t>
      </w:r>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F328C1" w:rsidRDefault="00AD62C2" w:rsidP="005F70CB">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F328C1">
        <w:rPr>
          <w:rFonts w:ascii="Sylfaen" w:hAnsi="Sylfaen" w:cs="Sylfaen"/>
          <w:sz w:val="20"/>
          <w:szCs w:val="20"/>
          <w:lang w:val="ka-GE"/>
        </w:rPr>
        <w:t xml:space="preserve">შესყიდვის ობიექტია </w:t>
      </w:r>
      <w:r w:rsidR="003416D9" w:rsidRPr="00F328C1">
        <w:rPr>
          <w:rFonts w:ascii="Sylfaen" w:hAnsi="Sylfaen" w:cs="Sylfaen"/>
          <w:sz w:val="20"/>
          <w:szCs w:val="20"/>
          <w:lang w:val="ka-GE"/>
        </w:rPr>
        <w:t>სამედიცინო სახარჯი მასალა</w:t>
      </w:r>
      <w:r w:rsidR="00A54B1F" w:rsidRPr="00F328C1">
        <w:rPr>
          <w:rFonts w:ascii="Sylfaen" w:hAnsi="Sylfaen" w:cs="Sylfaen"/>
          <w:sz w:val="20"/>
          <w:szCs w:val="20"/>
          <w:lang w:val="ka-GE"/>
        </w:rPr>
        <w:t xml:space="preserve">, კერძოდ </w:t>
      </w:r>
      <w:permStart w:id="1217339612" w:edGrp="everyone"/>
      <w:r w:rsidR="00E05769">
        <w:rPr>
          <w:rFonts w:ascii="Sylfaen" w:hAnsi="Sylfaen" w:cs="Sylfaen"/>
          <w:sz w:val="20"/>
          <w:szCs w:val="20"/>
          <w:lang w:val="ka-GE"/>
        </w:rPr>
        <w:t xml:space="preserve">მარლა და </w:t>
      </w:r>
      <w:proofErr w:type="spellStart"/>
      <w:r w:rsidR="00E05769">
        <w:rPr>
          <w:rFonts w:ascii="Sylfaen" w:hAnsi="Sylfaen" w:cs="Sylfaen"/>
          <w:sz w:val="20"/>
          <w:szCs w:val="20"/>
          <w:lang w:val="ka-GE"/>
        </w:rPr>
        <w:t>ბახილები</w:t>
      </w:r>
      <w:proofErr w:type="spellEnd"/>
      <w:r w:rsidR="00F328C1">
        <w:rPr>
          <w:rFonts w:ascii="Sylfaen" w:hAnsi="Sylfaen" w:cs="Sylfaen"/>
          <w:sz w:val="20"/>
          <w:szCs w:val="20"/>
          <w:lang w:val="ka-GE"/>
        </w:rPr>
        <w:t>.</w:t>
      </w:r>
      <w:permEnd w:id="1217339612"/>
    </w:p>
    <w:p w:rsidR="00474F39" w:rsidRPr="00263D3E" w:rsidRDefault="00AD62C2" w:rsidP="00263D3E">
      <w:pPr>
        <w:pStyle w:val="ListParagraph"/>
        <w:tabs>
          <w:tab w:val="left" w:pos="360"/>
        </w:tabs>
        <w:spacing w:afterLines="200" w:after="480" w:line="276" w:lineRule="auto"/>
        <w:ind w:left="0"/>
        <w:mirrorIndents/>
        <w:jc w:val="both"/>
        <w:rPr>
          <w:rFonts w:ascii="Sylfaen" w:hAnsi="Sylfaen" w:cs="Sylfaen"/>
          <w:sz w:val="20"/>
          <w:szCs w:val="20"/>
          <w:lang w:val="ka-GE"/>
        </w:rPr>
      </w:pPr>
      <w:r w:rsidRPr="00F328C1">
        <w:rPr>
          <w:rFonts w:ascii="Sylfaen" w:hAnsi="Sylfaen" w:cs="Sylfaen"/>
          <w:sz w:val="20"/>
          <w:szCs w:val="20"/>
          <w:lang w:val="ka-GE"/>
        </w:rPr>
        <w:lastRenderedPageBreak/>
        <w:t>საქონლის დეტალური აღწერა, რაოდენობა, ტექნიკური მახასიათებლებლები და ღირებ</w:t>
      </w:r>
      <w:r w:rsidR="00F71001" w:rsidRPr="00F328C1">
        <w:rPr>
          <w:rFonts w:ascii="Sylfaen" w:hAnsi="Sylfaen" w:cs="Sylfaen"/>
          <w:sz w:val="20"/>
          <w:szCs w:val="20"/>
          <w:lang w:val="ka-GE"/>
        </w:rPr>
        <w:t>უ</w:t>
      </w:r>
      <w:r w:rsidRPr="00F328C1">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ermStart w:id="1355441303" w:edGrp="everyone"/>
      <w:permEnd w:id="1355441303"/>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732256809"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732256809"/>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 xml:space="preserve">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w:t>
      </w:r>
      <w:r w:rsidRPr="00926F73">
        <w:rPr>
          <w:rFonts w:ascii="Sylfaen" w:hAnsi="Sylfaen" w:cs="Sylfaen"/>
          <w:sz w:val="20"/>
          <w:szCs w:val="20"/>
          <w:lang w:val="ka-GE"/>
        </w:rPr>
        <w:lastRenderedPageBreak/>
        <w:t>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660889603"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660889603"/>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929260421" w:edGrp="everyone"/>
      <w:r w:rsidRPr="004779FC">
        <w:rPr>
          <w:rFonts w:ascii="Sylfaen" w:hAnsi="Sylfaen" w:cs="Sylfaen"/>
          <w:sz w:val="20"/>
          <w:szCs w:val="20"/>
          <w:lang w:val="ka-GE"/>
        </w:rPr>
        <w:t xml:space="preserve">____________________________________________ </w:t>
      </w:r>
      <w:permEnd w:id="929260421"/>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606932796"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606932796"/>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2101611733"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2101611733"/>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263D3E" w:rsidRDefault="00263D3E"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030913894" w:edGrp="everyone"/>
      <w:r w:rsidRPr="00657E8A">
        <w:rPr>
          <w:rFonts w:ascii="Sylfaen" w:hAnsi="Sylfaen" w:cs="Sylfaen"/>
          <w:sz w:val="20"/>
          <w:szCs w:val="20"/>
          <w:lang w:val="ka-GE"/>
        </w:rPr>
        <w:t>___________________________________,</w:t>
      </w:r>
      <w:permEnd w:id="1030913894"/>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967811734" w:edGrp="everyone"/>
      <w:r w:rsidRPr="00657E8A">
        <w:rPr>
          <w:rFonts w:ascii="Sylfaen" w:hAnsi="Sylfaen" w:cs="Sylfaen"/>
          <w:sz w:val="20"/>
          <w:szCs w:val="20"/>
          <w:lang w:val="ka-GE"/>
        </w:rPr>
        <w:t>___________________________________.</w:t>
      </w:r>
      <w:permEnd w:id="1967811734"/>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263D3E" w:rsidRDefault="00263D3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Default="00635DC0" w:rsidP="00635DC0">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373842730" w:edGrp="everyone"/>
      <w:r>
        <w:rPr>
          <w:rFonts w:ascii="Sylfaen" w:hAnsi="Sylfaen" w:cs="Sylfaen"/>
          <w:b/>
          <w:bCs/>
          <w:sz w:val="20"/>
          <w:szCs w:val="20"/>
          <w:lang w:val="ka-GE"/>
        </w:rPr>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lastRenderedPageBreak/>
        <w:t>7.1.ანგარიშსწორება განხორციელდება ეროვნულ ვალუტა - ლარში უნაღდო ანგარიშსწორების ფორმით.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ED3823">
        <w:rPr>
          <w:rFonts w:ascii="Sylfaen" w:hAnsi="Sylfaen" w:cs="Sylfaen"/>
          <w:sz w:val="20"/>
          <w:szCs w:val="20"/>
          <w:lang w:val="ka-GE"/>
        </w:rPr>
        <w:t xml:space="preserve">25 </w:t>
      </w:r>
      <w:r>
        <w:rPr>
          <w:rFonts w:ascii="Sylfaen" w:hAnsi="Sylfaen" w:cs="Sylfaen"/>
          <w:sz w:val="20"/>
          <w:szCs w:val="20"/>
          <w:lang w:val="ka-GE"/>
        </w:rPr>
        <w:t xml:space="preserve">წლის  </w:t>
      </w:r>
      <w:r w:rsidR="00ED3823">
        <w:rPr>
          <w:rFonts w:ascii="Sylfaen" w:hAnsi="Sylfaen" w:cs="Sylfaen"/>
          <w:sz w:val="20"/>
          <w:szCs w:val="20"/>
          <w:lang w:val="ka-GE"/>
        </w:rPr>
        <w:t>______</w:t>
      </w:r>
      <w:r>
        <w:rPr>
          <w:rFonts w:ascii="Sylfaen" w:hAnsi="Sylfaen" w:cs="Sylfaen"/>
          <w:sz w:val="20"/>
          <w:szCs w:val="20"/>
          <w:lang w:val="ka-GE"/>
        </w:rPr>
        <w:t>.</w:t>
      </w:r>
    </w:p>
    <w:p w:rsidR="00635DC0" w:rsidRPr="009E3F9E"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820862"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373842730"/>
    <w:p w:rsidR="00635DC0" w:rsidRDefault="00635DC0" w:rsidP="00635DC0">
      <w:pPr>
        <w:pStyle w:val="ListParagraph"/>
        <w:tabs>
          <w:tab w:val="left" w:pos="360"/>
        </w:tabs>
        <w:spacing w:afterLines="200" w:after="480" w:line="276" w:lineRule="auto"/>
        <w:ind w:left="0"/>
        <w:mirrorIndents/>
        <w:jc w:val="both"/>
        <w:rPr>
          <w:rFonts w:ascii="Sylfaen" w:hAnsi="Sylfaen" w:cs="Sylfaen"/>
          <w:sz w:val="20"/>
          <w:szCs w:val="20"/>
          <w:lang w:val="ka-GE"/>
        </w:rPr>
      </w:pPr>
    </w:p>
    <w:p w:rsidR="00263D3E" w:rsidRPr="00886AA7" w:rsidRDefault="00263D3E" w:rsidP="00635DC0">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Pr="00AC3924" w:rsidRDefault="00635DC0" w:rsidP="00635DC0">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494894465" w:edGrp="everyone"/>
      <w:r w:rsidRPr="00AC3924">
        <w:rPr>
          <w:rFonts w:ascii="Sylfaen" w:hAnsi="Sylfaen" w:cs="Sylfaen"/>
          <w:b/>
          <w:bCs/>
          <w:sz w:val="20"/>
          <w:szCs w:val="20"/>
          <w:lang w:val="ka-GE"/>
        </w:rPr>
        <w:t>ანგარიშსწორების პირობები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r w:rsidRPr="00AC3924">
        <w:rPr>
          <w:rFonts w:ascii="Sylfaen" w:hAnsi="Sylfaen" w:cs="Sylfaen"/>
          <w:sz w:val="20"/>
          <w:szCs w:val="20"/>
          <w:lang w:val="ka-GE"/>
        </w:rPr>
        <w:tab/>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დაფინანსების წყარო: 20</w:t>
      </w:r>
      <w:r w:rsidRPr="00AC3924">
        <w:rPr>
          <w:rFonts w:ascii="Sylfaen" w:hAnsi="Sylfaen" w:cs="Sylfaen"/>
          <w:sz w:val="20"/>
          <w:szCs w:val="20"/>
        </w:rPr>
        <w:t>2</w:t>
      </w:r>
      <w:r w:rsidR="00971AD5" w:rsidRPr="00AC3924">
        <w:rPr>
          <w:rFonts w:ascii="Sylfaen" w:hAnsi="Sylfaen" w:cs="Sylfaen"/>
          <w:sz w:val="20"/>
          <w:szCs w:val="20"/>
          <w:lang w:val="ka-GE"/>
        </w:rPr>
        <w:t>5</w:t>
      </w:r>
      <w:r w:rsidRPr="00AC3924">
        <w:rPr>
          <w:rFonts w:ascii="Sylfaen" w:hAnsi="Sylfaen" w:cs="Sylfaen"/>
          <w:sz w:val="20"/>
          <w:szCs w:val="20"/>
          <w:lang w:val="ka-GE"/>
        </w:rPr>
        <w:t xml:space="preserve">  წლის  </w:t>
      </w:r>
      <w:r w:rsidRPr="00AC3924">
        <w:rPr>
          <w:rFonts w:ascii="Sylfaen" w:hAnsi="Sylfaen" w:cs="Sylfaen"/>
          <w:sz w:val="20"/>
          <w:szCs w:val="20"/>
        </w:rPr>
        <w:t xml:space="preserve">_______ </w:t>
      </w:r>
      <w:r w:rsidRPr="00AC3924">
        <w:rPr>
          <w:rFonts w:ascii="Sylfaen" w:hAnsi="Sylfaen" w:cs="Sylfaen"/>
          <w:sz w:val="20"/>
          <w:szCs w:val="20"/>
          <w:lang w:val="ka-GE"/>
        </w:rPr>
        <w:t>.</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w:t>
      </w:r>
      <w:proofErr w:type="spellStart"/>
      <w:r w:rsidRPr="00AC3924">
        <w:rPr>
          <w:rFonts w:ascii="Sylfaen" w:hAnsi="Sylfaen" w:cs="Sylfaen"/>
          <w:sz w:val="20"/>
          <w:szCs w:val="20"/>
          <w:lang w:val="ka-GE"/>
        </w:rPr>
        <w:t>შემსყიდველის</w:t>
      </w:r>
      <w:proofErr w:type="spellEnd"/>
      <w:r w:rsidRPr="00AC3924">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Pr="00AC3924">
        <w:rPr>
          <w:rFonts w:ascii="Sylfaen" w:hAnsi="Sylfaen" w:cs="Sylfaen"/>
          <w:sz w:val="20"/>
          <w:szCs w:val="20"/>
        </w:rPr>
        <w:t xml:space="preserve"> </w:t>
      </w:r>
      <w:r w:rsidRPr="00AC3924">
        <w:rPr>
          <w:rFonts w:ascii="Sylfaen" w:hAnsi="Sylfaen" w:cs="Sylfaen"/>
          <w:sz w:val="20"/>
          <w:szCs w:val="20"/>
          <w:lang w:val="ka-GE"/>
        </w:rPr>
        <w:t>დღის განმავლობაში.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494894465"/>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263D3E" w:rsidRDefault="00263D3E"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820862" w:rsidRPr="00AC3924" w:rsidRDefault="00820862" w:rsidP="00820862">
      <w:pPr>
        <w:pStyle w:val="ListParagraph"/>
        <w:numPr>
          <w:ilvl w:val="1"/>
          <w:numId w:val="5"/>
        </w:numPr>
        <w:spacing w:afterLines="200" w:after="480" w:line="276" w:lineRule="auto"/>
        <w:ind w:left="0" w:firstLine="0"/>
        <w:mirrorIndents/>
        <w:jc w:val="both"/>
        <w:rPr>
          <w:rFonts w:ascii="Sylfaen" w:hAnsi="Sylfaen" w:cs="Sylfaen"/>
          <w:b/>
          <w:bCs/>
          <w:sz w:val="20"/>
          <w:szCs w:val="20"/>
          <w:lang w:val="ka-GE"/>
        </w:rPr>
      </w:pPr>
      <w:r w:rsidRPr="00AC3924">
        <w:rPr>
          <w:rFonts w:ascii="Sylfaen" w:hAnsi="Sylfaen" w:cs="Sylfaen"/>
          <w:sz w:val="20"/>
          <w:szCs w:val="20"/>
          <w:lang w:val="ka-GE"/>
        </w:rPr>
        <w:t xml:space="preserve">მხარეთა შორის შესაბამისი მიღება-ჩაბარების აქტ(ებ)ის გაფორმებისა და მიმწოდებლის მიერ საქართველოს კანონმდებლობით გათვალისწინებული შესაბამისი საგადასახადო </w:t>
      </w:r>
      <w:r w:rsidRPr="00AC3924">
        <w:rPr>
          <w:rFonts w:ascii="Sylfaen" w:hAnsi="Sylfaen" w:cs="Sylfaen"/>
          <w:sz w:val="20"/>
          <w:szCs w:val="20"/>
          <w:lang w:val="ka-GE"/>
        </w:rPr>
        <w:lastRenderedPageBreak/>
        <w:t>დოკუმენტაციის წარდგენის შემდეგ, შემსყიდველი ორგანიზაციის მიერ ამავე ხელშეკრულების მე-7 მუხლით დადგენილი ანგარიშსწორების ვადის დარღვევის შემთხვევაში, შემსყიდველი ორგანიზაცია და მიმწოდებელი ვალდებულნი არიან შეადგინონ შედარების აქტი. მხარეების მიერ შედარების აქტის  ხელმოწერის დღიდან არაუადრეს 60 (სამოცი) კალენდარული დღისა, მიმწოდებელი უფლებამოსილია დროებით შეწყვიტოს შემსყიდველი ორგანიზაციისთვის საქონლის მიწოდება, სანამ შემსყიდველი ორგანიზაცია არ უზრუნველყოფს შედარების აქტით დადგენილი დავალიანების არანაკლებ 50%-ს ანაზღაურებას.</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w:t>
      </w:r>
      <w:r w:rsidRPr="00F71001">
        <w:rPr>
          <w:rFonts w:ascii="Sylfaen" w:hAnsi="Sylfaen" w:cs="Sylfaen"/>
          <w:sz w:val="20"/>
          <w:szCs w:val="20"/>
          <w:lang w:val="ka-GE"/>
        </w:rPr>
        <w:lastRenderedPageBreak/>
        <w:t>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597444870"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597444870"/>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262890092"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262890092"/>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F1407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B755A9" w:rsidRDefault="00B755A9"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AC2B8F" w:rsidRDefault="00AC2B8F"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FC4F09" w:rsidRDefault="00FC4F09" w:rsidP="00FC4F09">
      <w:pPr>
        <w:pStyle w:val="ListParagraph"/>
        <w:tabs>
          <w:tab w:val="left" w:pos="360"/>
        </w:tabs>
        <w:spacing w:afterLines="200" w:after="480" w:line="276" w:lineRule="auto"/>
        <w:ind w:left="0"/>
        <w:mirrorIndents/>
        <w:jc w:val="both"/>
        <w:rPr>
          <w:rFonts w:ascii="Sylfaen" w:hAnsi="Sylfaen" w:cs="Sylfaen"/>
          <w:sz w:val="20"/>
          <w:szCs w:val="20"/>
          <w:lang w:val="ka-GE"/>
        </w:rPr>
      </w:pPr>
    </w:p>
    <w:p w:rsidR="00263D3E" w:rsidRPr="00886AA7" w:rsidRDefault="00263D3E" w:rsidP="00FC4F09">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263D3E" w:rsidRPr="00886AA7" w:rsidRDefault="00263D3E"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თუ სახელშეკრულებო ვალდებულებების მთლიანი ან ნაწილობრივი შეუსრულებლობა გამოწვეულია ფორს-მაჟორული </w:t>
      </w:r>
      <w:r w:rsidRPr="008D2CC3">
        <w:rPr>
          <w:rFonts w:ascii="Sylfaen" w:hAnsi="Sylfaen" w:cs="Sylfaen"/>
          <w:sz w:val="20"/>
          <w:szCs w:val="20"/>
          <w:lang w:val="ka-GE"/>
        </w:rPr>
        <w:lastRenderedPageBreak/>
        <w:t>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263D3E" w:rsidRDefault="00263D3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548229536"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548229536"/>
    </w:p>
    <w:p w:rsidR="0017003C"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263D3E" w:rsidRPr="00886AA7" w:rsidRDefault="00263D3E"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w:t>
      </w:r>
      <w:r w:rsidRPr="008D2CC3">
        <w:rPr>
          <w:rFonts w:ascii="Sylfaen" w:hAnsi="Sylfaen" w:cs="Sylfaen"/>
          <w:sz w:val="20"/>
          <w:szCs w:val="20"/>
          <w:lang w:val="ka-GE"/>
        </w:rPr>
        <w:lastRenderedPageBreak/>
        <w:t>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971AD5" w:rsidRPr="00E4579E">
          <w:rPr>
            <w:rStyle w:val="Hyperlink"/>
            <w:rFonts w:ascii="Sylfaen" w:hAnsi="Sylfaen" w:cs="Sylfaen"/>
            <w:sz w:val="20"/>
          </w:rPr>
          <w:t>med</w:t>
        </w:r>
        <w:r w:rsidR="00971AD5" w:rsidRPr="00E4579E">
          <w:rPr>
            <w:rStyle w:val="Hyperlink"/>
            <w:rFonts w:ascii="Sylfaen" w:hAnsi="Sylfaen" w:cs="Sylfaen"/>
            <w:sz w:val="20"/>
            <w:lang w:val="ka-GE"/>
          </w:rPr>
          <w:t>2025</w:t>
        </w:r>
        <w:r w:rsidR="00971AD5" w:rsidRPr="00E4579E">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686B4E"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263D3E" w:rsidRPr="008D2CC3" w:rsidRDefault="00263D3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263D3E" w:rsidRDefault="00263D3E"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263D3E" w:rsidRDefault="00263D3E"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594111341" w:edGrp="everyone"/>
      <w:r w:rsidR="007E3ED7">
        <w:rPr>
          <w:rFonts w:ascii="Sylfaen" w:hAnsi="Sylfaen" w:cs="Sylfaen"/>
          <w:sz w:val="20"/>
          <w:szCs w:val="20"/>
          <w:lang w:val="ka-GE"/>
        </w:rPr>
        <w:t xml:space="preserve">      </w:t>
      </w:r>
    </w:p>
    <w:permEnd w:id="1594111341"/>
    <w:p w:rsidR="00AD38A4"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263D3E" w:rsidRPr="008D2CC3" w:rsidRDefault="00263D3E"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729189669" w:edGrp="everyone"/>
      <w:r w:rsidRPr="00886AA7">
        <w:rPr>
          <w:rFonts w:ascii="Sylfaen" w:hAnsi="Sylfaen" w:cs="Sylfaen"/>
          <w:sz w:val="20"/>
          <w:szCs w:val="20"/>
          <w:lang w:val="ka-GE"/>
        </w:rPr>
        <w:t>202</w:t>
      </w:r>
      <w:r w:rsidR="00971AD5">
        <w:rPr>
          <w:rFonts w:ascii="Sylfaen" w:hAnsi="Sylfaen" w:cs="Sylfaen"/>
          <w:sz w:val="20"/>
          <w:szCs w:val="20"/>
          <w:lang w:val="ka-GE"/>
        </w:rPr>
        <w:t>5</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w:t>
      </w:r>
      <w:bookmarkStart w:id="6" w:name="_GoBack"/>
      <w:bookmarkEnd w:id="6"/>
      <w:r w:rsidR="00364492" w:rsidRPr="00886AA7">
        <w:rPr>
          <w:rFonts w:ascii="Sylfaen" w:hAnsi="Sylfaen" w:cs="Sylfaen"/>
          <w:sz w:val="20"/>
          <w:szCs w:val="20"/>
          <w:lang w:val="ka-GE"/>
        </w:rPr>
        <w:t>_________</w:t>
      </w:r>
      <w:permEnd w:id="1729189669"/>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2091797298" w:edGrp="everyone"/>
            <w:r w:rsidRPr="00886AA7">
              <w:rPr>
                <w:rFonts w:ascii="Sylfaen" w:hAnsi="Sylfaen"/>
                <w:b/>
                <w:lang w:val="ka-GE"/>
              </w:rPr>
              <w:t xml:space="preserve">                            </w:t>
            </w:r>
          </w:p>
          <w:permEnd w:id="2091797298"/>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69878362" w:edGrp="everyone"/>
            <w:r w:rsidRPr="00886AA7">
              <w:rPr>
                <w:rFonts w:ascii="Sylfaen" w:hAnsi="Sylfaen" w:cs="Sylfaen"/>
                <w:lang w:val="ka-GE"/>
              </w:rPr>
              <w:t>____________</w:t>
            </w:r>
            <w:permEnd w:id="269878362"/>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1060593881" w:edGrp="everyone"/>
            <w:r w:rsidRPr="00886AA7">
              <w:rPr>
                <w:rFonts w:ascii="Sylfaen" w:hAnsi="Sylfaen" w:cs="Sylfaen"/>
                <w:lang w:val="ka-GE"/>
              </w:rPr>
              <w:t>____________</w:t>
            </w:r>
            <w:permEnd w:id="1060593881"/>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723624801" w:edGrp="everyone"/>
            <w:r w:rsidRPr="00886AA7">
              <w:rPr>
                <w:rFonts w:ascii="Sylfaen" w:hAnsi="Sylfaen" w:cs="Sylfaen"/>
                <w:lang w:val="ka-GE"/>
              </w:rPr>
              <w:t>____________</w:t>
            </w:r>
            <w:permEnd w:id="1723624801"/>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1578565753"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1578565753"/>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1643344425" w:edGrp="everyone"/>
            <w:r w:rsidRPr="00886AA7">
              <w:rPr>
                <w:rFonts w:ascii="Sylfaen" w:hAnsi="Sylfaen" w:cs="Sylfaen"/>
                <w:b/>
                <w:i/>
                <w:shd w:val="clear" w:color="auto" w:fill="FFFFFF"/>
                <w:lang w:val="ka-GE"/>
              </w:rPr>
              <w:t>წარმომადგენელი</w:t>
            </w:r>
          </w:p>
          <w:permEnd w:id="1643344425"/>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F328C1" w:rsidRPr="00B251B5" w:rsidRDefault="00F328C1" w:rsidP="00F328C1">
            <w:pPr>
              <w:ind w:left="306"/>
              <w:jc w:val="both"/>
              <w:rPr>
                <w:rFonts w:ascii="Sylfaen" w:hAnsi="Sylfaen" w:cs="Sylfaen"/>
                <w:bCs/>
                <w:lang w:val="ka-GE"/>
              </w:rPr>
            </w:pPr>
            <w:r w:rsidRPr="00B251B5">
              <w:rPr>
                <w:rFonts w:ascii="Sylfaen" w:hAnsi="Sylfaen" w:cs="Sylfaen"/>
                <w:bCs/>
                <w:lang w:val="ka-GE"/>
              </w:rPr>
              <w:t xml:space="preserve">შპს </w:t>
            </w:r>
            <w:r>
              <w:rPr>
                <w:rFonts w:ascii="Sylfaen" w:hAnsi="Sylfaen" w:cs="Sylfaen"/>
                <w:bCs/>
                <w:lang w:val="ka-GE"/>
              </w:rPr>
              <w:t>„</w:t>
            </w:r>
            <w:proofErr w:type="spellStart"/>
            <w:r w:rsidR="00AC2B8F">
              <w:rPr>
                <w:rFonts w:ascii="Sylfaen" w:hAnsi="Sylfaen" w:cs="Sylfaen"/>
                <w:bCs/>
                <w:lang w:val="ka-GE"/>
              </w:rPr>
              <w:t>პრიმაქს</w:t>
            </w:r>
            <w:proofErr w:type="spellEnd"/>
            <w:r w:rsidR="00AC2B8F">
              <w:rPr>
                <w:rFonts w:ascii="Sylfaen" w:hAnsi="Sylfaen" w:cs="Sylfaen"/>
                <w:bCs/>
                <w:lang w:val="ka-GE"/>
              </w:rPr>
              <w:t>-ჯორჯია</w:t>
            </w:r>
            <w:r>
              <w:rPr>
                <w:rFonts w:ascii="Sylfaen" w:hAnsi="Sylfaen" w:cs="Sylfaen"/>
                <w:bCs/>
                <w:lang w:val="ka-GE"/>
              </w:rPr>
              <w:t>“</w:t>
            </w:r>
          </w:p>
          <w:p w:rsidR="00F328C1" w:rsidRPr="00B251B5" w:rsidRDefault="00F328C1" w:rsidP="00F328C1">
            <w:pPr>
              <w:ind w:left="306"/>
              <w:jc w:val="both"/>
              <w:rPr>
                <w:rFonts w:ascii="Sylfaen" w:hAnsi="Sylfaen" w:cs="Sylfaen"/>
                <w:lang w:val="ka-GE"/>
              </w:rPr>
            </w:pPr>
            <w:r w:rsidRPr="00B251B5">
              <w:rPr>
                <w:rFonts w:ascii="Sylfaen" w:hAnsi="Sylfaen" w:cs="Sylfaen"/>
                <w:lang w:val="ka-GE"/>
              </w:rPr>
              <w:t xml:space="preserve">საიდენტიფიკაციო კოდი: </w:t>
            </w:r>
            <w:r w:rsidR="00AC2B8F">
              <w:rPr>
                <w:rFonts w:ascii="DejaVu Sans" w:hAnsi="DejaVu Sans" w:cs="DejaVu Sans"/>
                <w:color w:val="222222"/>
                <w:sz w:val="21"/>
                <w:szCs w:val="21"/>
                <w:shd w:val="clear" w:color="auto" w:fill="FFFFFF"/>
              </w:rPr>
              <w:t>404421185</w:t>
            </w:r>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1127641897" w:edGrp="everyone"/>
            <w:r w:rsidRPr="00886AA7">
              <w:rPr>
                <w:rFonts w:ascii="Sylfaen" w:hAnsi="Sylfaen" w:cs="Sylfaen"/>
                <w:lang w:val="ka-GE"/>
              </w:rPr>
              <w:t>____________</w:t>
            </w:r>
            <w:permEnd w:id="1127641897"/>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1078870678" w:edGrp="everyone"/>
            <w:r w:rsidRPr="00886AA7">
              <w:rPr>
                <w:rFonts w:ascii="Sylfaen" w:hAnsi="Sylfaen" w:cs="Sylfaen"/>
                <w:lang w:val="ka-GE"/>
              </w:rPr>
              <w:t>____________</w:t>
            </w:r>
            <w:permEnd w:id="1078870678"/>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274411389"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274411389"/>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1364669208" w:edGrp="everyone"/>
            <w:r w:rsidRPr="00886AA7">
              <w:rPr>
                <w:rFonts w:ascii="Sylfaen" w:hAnsi="Sylfaen" w:cs="Sylfaen"/>
                <w:b/>
                <w:i/>
                <w:shd w:val="clear" w:color="auto" w:fill="FFFFFF"/>
                <w:lang w:val="ka-GE"/>
              </w:rPr>
              <w:t>წარმომადგენელი</w:t>
            </w:r>
            <w:permEnd w:id="1364669208"/>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078267375"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078267375"/>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866076560" w:edGrp="everyone"/>
            <w:proofErr w:type="spellStart"/>
            <w:r w:rsidRPr="00886AA7">
              <w:rPr>
                <w:rFonts w:ascii="Sylfaen" w:hAnsi="Sylfaen"/>
                <w:lang w:val="ka-GE"/>
              </w:rPr>
              <w:t>ქ.თბილისი</w:t>
            </w:r>
            <w:permEnd w:id="866076560"/>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843209150"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843209150"/>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986529483"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proofErr w:type="gramStart"/>
            <w:r w:rsidRPr="005A2F60">
              <w:rPr>
                <w:rFonts w:ascii="Sylfaen" w:eastAsia="Times New Roman" w:hAnsi="Sylfaen" w:cs="Calibri"/>
                <w:b/>
                <w:sz w:val="20"/>
                <w:szCs w:val="20"/>
              </w:rPr>
              <w:t>ერთ</w:t>
            </w:r>
            <w:proofErr w:type="spellEnd"/>
            <w:proofErr w:type="gram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1359366677" w:edGrp="everyone" w:colFirst="0" w:colLast="0"/>
            <w:permStart w:id="247204671" w:edGrp="everyone" w:colFirst="1" w:colLast="1"/>
            <w:permStart w:id="1542089647" w:edGrp="everyone" w:colFirst="2" w:colLast="2"/>
            <w:permStart w:id="1841911983" w:edGrp="everyone" w:colFirst="3" w:colLast="3"/>
            <w:permStart w:id="1245839371" w:edGrp="everyone" w:colFirst="4" w:colLast="4"/>
            <w:permStart w:id="1413291275" w:edGrp="everyone" w:colFirst="5" w:colLast="5"/>
            <w:permStart w:id="275080542" w:edGrp="everyone" w:colFirst="6" w:colLast="6"/>
            <w:permStart w:id="1240865151" w:edGrp="everyone" w:colFirst="7" w:colLast="7"/>
            <w:permStart w:id="1640571044" w:edGrp="everyone" w:colFirst="8" w:colLast="8"/>
            <w:permStart w:id="1635129027"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986529483"/>
      <w:permEnd w:id="1359366677"/>
      <w:permEnd w:id="247204671"/>
      <w:permEnd w:id="1542089647"/>
      <w:permEnd w:id="1841911983"/>
      <w:permEnd w:id="1245839371"/>
      <w:permEnd w:id="1413291275"/>
      <w:permEnd w:id="275080542"/>
      <w:permEnd w:id="1240865151"/>
      <w:permEnd w:id="1640571044"/>
      <w:permEnd w:id="1635129027"/>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2056859316" w:edGrp="everyone"/>
            <w:r w:rsidRPr="00886AA7">
              <w:rPr>
                <w:rFonts w:ascii="Sylfaen" w:hAnsi="Sylfaen"/>
                <w:b/>
                <w:lang w:val="ka-GE"/>
              </w:rPr>
              <w:t xml:space="preserve">                                                 </w:t>
            </w:r>
          </w:p>
          <w:permEnd w:id="2056859316"/>
          <w:p w:rsidR="00FB40B1"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689977664" w:edGrp="everyone"/>
            <w:r w:rsidRPr="00886AA7">
              <w:rPr>
                <w:rFonts w:ascii="Sylfaen" w:hAnsi="Sylfaen" w:cs="Sylfaen"/>
                <w:lang w:val="ka-GE"/>
              </w:rPr>
              <w:t xml:space="preserve"> ____________</w:t>
            </w:r>
          </w:p>
          <w:permEnd w:id="1689977664"/>
          <w:p w:rsidR="00F328C1" w:rsidRPr="00886AA7" w:rsidRDefault="00F328C1" w:rsidP="00761288">
            <w:pPr>
              <w:spacing w:line="276" w:lineRule="auto"/>
              <w:jc w:val="both"/>
              <w:rPr>
                <w:rFonts w:ascii="Sylfaen" w:hAnsi="Sylfaen" w:cs="Sylfaen"/>
                <w:lang w:val="ka-GE"/>
              </w:rPr>
            </w:pPr>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617291615" w:edGrp="everyone"/>
            <w:r w:rsidRPr="00886AA7">
              <w:rPr>
                <w:rFonts w:ascii="Sylfaen" w:hAnsi="Sylfaen" w:cs="Sylfaen"/>
                <w:b/>
                <w:i/>
                <w:shd w:val="clear" w:color="auto" w:fill="FFFFFF"/>
                <w:lang w:val="ka-GE"/>
              </w:rPr>
              <w:t>წარმომადგენელი</w:t>
            </w:r>
          </w:p>
          <w:permEnd w:id="617291615"/>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328C1" w:rsidRPr="00B251B5" w:rsidRDefault="00F328C1" w:rsidP="00F328C1">
            <w:pPr>
              <w:jc w:val="both"/>
              <w:rPr>
                <w:rFonts w:ascii="Sylfaen" w:hAnsi="Sylfaen" w:cs="Sylfaen"/>
                <w:bCs/>
                <w:lang w:val="ka-GE"/>
              </w:rPr>
            </w:pPr>
            <w:r w:rsidRPr="00B251B5">
              <w:rPr>
                <w:rFonts w:ascii="Sylfaen" w:hAnsi="Sylfaen" w:cs="Sylfaen"/>
                <w:bCs/>
                <w:lang w:val="ka-GE"/>
              </w:rPr>
              <w:t xml:space="preserve">შპს </w:t>
            </w:r>
            <w:r>
              <w:rPr>
                <w:rFonts w:ascii="Sylfaen" w:hAnsi="Sylfaen" w:cs="Sylfaen"/>
                <w:bCs/>
                <w:lang w:val="ka-GE"/>
              </w:rPr>
              <w:t>„</w:t>
            </w:r>
            <w:proofErr w:type="spellStart"/>
            <w:r w:rsidR="001E349B">
              <w:rPr>
                <w:rFonts w:ascii="Sylfaen" w:hAnsi="Sylfaen" w:cs="Sylfaen"/>
                <w:bCs/>
                <w:lang w:val="ka-GE"/>
              </w:rPr>
              <w:t>პრიმაქს</w:t>
            </w:r>
            <w:proofErr w:type="spellEnd"/>
            <w:r w:rsidR="001E349B">
              <w:rPr>
                <w:rFonts w:ascii="Sylfaen" w:hAnsi="Sylfaen" w:cs="Sylfaen"/>
                <w:bCs/>
                <w:lang w:val="ka-GE"/>
              </w:rPr>
              <w:t>-ჯორჯია</w:t>
            </w:r>
            <w:r>
              <w:rPr>
                <w:rFonts w:ascii="Sylfaen" w:hAnsi="Sylfaen" w:cs="Sylfaen"/>
                <w:bCs/>
                <w:lang w:val="ka-GE"/>
              </w:rPr>
              <w:t>“</w:t>
            </w:r>
          </w:p>
          <w:p w:rsidR="00F328C1" w:rsidRDefault="00F328C1" w:rsidP="00F328C1">
            <w:pPr>
              <w:jc w:val="both"/>
              <w:rPr>
                <w:rFonts w:ascii="Sylfaen" w:hAnsi="Sylfaen" w:cs="Sylfaen"/>
                <w:lang w:val="ka-GE"/>
              </w:rPr>
            </w:pPr>
            <w:r w:rsidRPr="00B251B5">
              <w:rPr>
                <w:rFonts w:ascii="Sylfaen" w:hAnsi="Sylfaen" w:cs="Sylfaen"/>
                <w:lang w:val="ka-GE"/>
              </w:rPr>
              <w:t xml:space="preserve">საიდენტიფიკაციო კოდი: </w:t>
            </w:r>
            <w:r w:rsidR="001E349B">
              <w:rPr>
                <w:rFonts w:ascii="DejaVu Sans" w:hAnsi="DejaVu Sans" w:cs="DejaVu Sans"/>
                <w:color w:val="222222"/>
                <w:sz w:val="21"/>
                <w:szCs w:val="21"/>
                <w:shd w:val="clear" w:color="auto" w:fill="FFFFFF"/>
              </w:rPr>
              <w:t>404421185</w:t>
            </w:r>
          </w:p>
          <w:p w:rsidR="00F328C1" w:rsidRPr="00B251B5" w:rsidRDefault="00F328C1" w:rsidP="00F328C1">
            <w:pPr>
              <w:jc w:val="both"/>
              <w:rPr>
                <w:rFonts w:ascii="Sylfaen" w:hAnsi="Sylfaen" w:cs="Sylfaen"/>
                <w:lang w:val="ka-GE"/>
              </w:rPr>
            </w:pPr>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859386243" w:edGrp="everyone"/>
            <w:r w:rsidRPr="00886AA7">
              <w:rPr>
                <w:rFonts w:ascii="Sylfaen" w:hAnsi="Sylfaen" w:cs="Sylfaen"/>
                <w:b/>
                <w:i/>
                <w:shd w:val="clear" w:color="auto" w:fill="FFFFFF"/>
                <w:lang w:val="ka-GE"/>
              </w:rPr>
              <w:t>წარმომადგენელი</w:t>
            </w:r>
          </w:p>
          <w:permEnd w:id="859386243"/>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569216039" w:edGrp="everyone"/>
      <w:r w:rsidR="000F3EB4">
        <w:rPr>
          <w:rFonts w:ascii="Sylfaen" w:hAnsi="Sylfaen"/>
          <w:b/>
          <w:bCs/>
          <w:sz w:val="20"/>
          <w:szCs w:val="20"/>
        </w:rPr>
        <w:t>N</w:t>
      </w:r>
      <w:r w:rsidRPr="00886AA7">
        <w:rPr>
          <w:rFonts w:ascii="Sylfaen" w:hAnsi="Sylfaen"/>
          <w:b/>
          <w:bCs/>
          <w:sz w:val="20"/>
          <w:szCs w:val="20"/>
          <w:lang w:val="ka-GE"/>
        </w:rPr>
        <w:t xml:space="preserve"> ----- </w:t>
      </w:r>
      <w:permEnd w:id="1569216039"/>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377056176" w:edGrp="everyone"/>
            <w:r w:rsidRPr="00886AA7">
              <w:rPr>
                <w:rFonts w:ascii="Sylfaen" w:hAnsi="Sylfaen"/>
                <w:lang w:val="ka-GE"/>
              </w:rPr>
              <w:t>ქ. თბილისი</w:t>
            </w:r>
            <w:permEnd w:id="377056176"/>
          </w:p>
        </w:tc>
        <w:tc>
          <w:tcPr>
            <w:tcW w:w="5251" w:type="dxa"/>
          </w:tcPr>
          <w:p w:rsidR="00FE4A11" w:rsidRPr="00886AA7" w:rsidRDefault="00FE4A11" w:rsidP="00342344">
            <w:pPr>
              <w:spacing w:line="276" w:lineRule="auto"/>
              <w:ind w:firstLine="3611"/>
              <w:jc w:val="both"/>
              <w:rPr>
                <w:rFonts w:ascii="Sylfaen" w:hAnsi="Sylfaen"/>
                <w:lang w:val="ka-GE"/>
              </w:rPr>
            </w:pPr>
            <w:permStart w:id="1760453697"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1760453697"/>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48650074" w:edGrp="everyone" w:colFirst="0" w:colLast="0"/>
            <w:permStart w:id="1806959685" w:edGrp="everyone" w:colFirst="1" w:colLast="1"/>
            <w:permStart w:id="413800836"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48650074"/>
      <w:permEnd w:id="1806959685"/>
      <w:permEnd w:id="413800836"/>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84637610" w:edGrp="everyone"/>
            <w:r w:rsidRPr="00886AA7">
              <w:rPr>
                <w:rFonts w:ascii="Sylfaen" w:hAnsi="Sylfaen"/>
                <w:b/>
                <w:lang w:val="ka-GE"/>
              </w:rPr>
              <w:t xml:space="preserve">                                        </w:t>
            </w:r>
          </w:p>
          <w:permEnd w:id="84637610"/>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572941011" w:edGrp="everyone"/>
            <w:r w:rsidRPr="00886AA7">
              <w:rPr>
                <w:rFonts w:ascii="Sylfaen" w:hAnsi="Sylfaen" w:cs="Sylfaen"/>
                <w:lang w:val="ka-GE"/>
              </w:rPr>
              <w:t>____________</w:t>
            </w:r>
            <w:permEnd w:id="1572941011"/>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492613850" w:edGrp="everyone"/>
            <w:r w:rsidRPr="00886AA7">
              <w:rPr>
                <w:rFonts w:ascii="Sylfaen" w:hAnsi="Sylfaen" w:cs="Sylfaen"/>
                <w:b/>
                <w:i/>
                <w:shd w:val="clear" w:color="auto" w:fill="FFFFFF"/>
                <w:lang w:val="ka-GE"/>
              </w:rPr>
              <w:t>წარმომადგენელი</w:t>
            </w:r>
          </w:p>
          <w:permEnd w:id="1492613850"/>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328C1" w:rsidRPr="00B251B5" w:rsidRDefault="00F328C1" w:rsidP="00F328C1">
            <w:pPr>
              <w:jc w:val="both"/>
              <w:rPr>
                <w:rFonts w:ascii="Sylfaen" w:hAnsi="Sylfaen" w:cs="Sylfaen"/>
                <w:bCs/>
                <w:lang w:val="ka-GE"/>
              </w:rPr>
            </w:pPr>
            <w:r w:rsidRPr="00B251B5">
              <w:rPr>
                <w:rFonts w:ascii="Sylfaen" w:hAnsi="Sylfaen" w:cs="Sylfaen"/>
                <w:bCs/>
                <w:lang w:val="ka-GE"/>
              </w:rPr>
              <w:t xml:space="preserve">შპს </w:t>
            </w:r>
            <w:r>
              <w:rPr>
                <w:rFonts w:ascii="Sylfaen" w:hAnsi="Sylfaen" w:cs="Sylfaen"/>
                <w:bCs/>
                <w:lang w:val="ka-GE"/>
              </w:rPr>
              <w:t>„</w:t>
            </w:r>
            <w:proofErr w:type="spellStart"/>
            <w:r w:rsidR="001E349B">
              <w:rPr>
                <w:rFonts w:ascii="Sylfaen" w:hAnsi="Sylfaen" w:cs="Sylfaen"/>
                <w:bCs/>
                <w:lang w:val="ka-GE"/>
              </w:rPr>
              <w:t>პრიმაქს</w:t>
            </w:r>
            <w:proofErr w:type="spellEnd"/>
            <w:r w:rsidR="001E349B">
              <w:rPr>
                <w:rFonts w:ascii="Sylfaen" w:hAnsi="Sylfaen" w:cs="Sylfaen"/>
                <w:bCs/>
                <w:lang w:val="ka-GE"/>
              </w:rPr>
              <w:t>-ჯორჯია</w:t>
            </w:r>
            <w:r>
              <w:rPr>
                <w:rFonts w:ascii="Sylfaen" w:hAnsi="Sylfaen" w:cs="Sylfaen"/>
                <w:bCs/>
                <w:lang w:val="ka-GE"/>
              </w:rPr>
              <w:t>“</w:t>
            </w:r>
          </w:p>
          <w:p w:rsidR="00F328C1" w:rsidRPr="00B251B5" w:rsidRDefault="00F328C1" w:rsidP="00F328C1">
            <w:pPr>
              <w:jc w:val="both"/>
              <w:rPr>
                <w:rFonts w:ascii="Sylfaen" w:hAnsi="Sylfaen" w:cs="Sylfaen"/>
                <w:lang w:val="ka-GE"/>
              </w:rPr>
            </w:pPr>
            <w:r w:rsidRPr="00B251B5">
              <w:rPr>
                <w:rFonts w:ascii="Sylfaen" w:hAnsi="Sylfaen" w:cs="Sylfaen"/>
                <w:lang w:val="ka-GE"/>
              </w:rPr>
              <w:t xml:space="preserve">საიდენტიფიკაციო კოდი: </w:t>
            </w:r>
            <w:r w:rsidR="001E349B">
              <w:rPr>
                <w:rFonts w:ascii="DejaVu Sans" w:hAnsi="DejaVu Sans" w:cs="DejaVu Sans"/>
                <w:color w:val="222222"/>
                <w:sz w:val="21"/>
                <w:szCs w:val="21"/>
                <w:shd w:val="clear" w:color="auto" w:fill="FFFFFF"/>
              </w:rPr>
              <w:t>404421185</w:t>
            </w:r>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2073441402" w:edGrp="everyone"/>
            <w:r w:rsidRPr="00886AA7">
              <w:rPr>
                <w:rFonts w:ascii="Sylfaen" w:hAnsi="Sylfaen" w:cs="Sylfaen"/>
                <w:b/>
                <w:i/>
                <w:shd w:val="clear" w:color="auto" w:fill="FFFFFF"/>
                <w:lang w:val="ka-GE"/>
              </w:rPr>
              <w:t>წარმომადგენელი</w:t>
            </w:r>
          </w:p>
          <w:permEnd w:id="2073441402"/>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734" w:rsidRDefault="00A66734">
      <w:pPr>
        <w:spacing w:after="0" w:line="240" w:lineRule="auto"/>
      </w:pPr>
      <w:r>
        <w:separator/>
      </w:r>
    </w:p>
  </w:endnote>
  <w:endnote w:type="continuationSeparator" w:id="0">
    <w:p w:rsidR="00A66734" w:rsidRDefault="00A6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414B8A">
          <w:rPr>
            <w:noProof/>
          </w:rPr>
          <w:t>8</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C42DE0">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734" w:rsidRDefault="00A66734">
      <w:pPr>
        <w:spacing w:after="0" w:line="240" w:lineRule="auto"/>
      </w:pPr>
      <w:r>
        <w:separator/>
      </w:r>
    </w:p>
  </w:footnote>
  <w:footnote w:type="continuationSeparator" w:id="0">
    <w:p w:rsidR="00A66734" w:rsidRDefault="00A66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ocumentProtection w:edit="readOnly" w:enforcement="1" w:cryptProviderType="rsaAES" w:cryptAlgorithmClass="hash" w:cryptAlgorithmType="typeAny" w:cryptAlgorithmSid="14" w:cryptSpinCount="100000" w:hash="ZEpJiS+1JU3t7OcyxA3zHiuLz4/Y+81BIrYYMf/H+w/oXeX7Meykuvz8x4lGQPfKT+n+xaidA42Dlo2Zji8FTA==" w:salt="CheCC65g7dLz8txu5K37n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E349B"/>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3D3E"/>
    <w:rsid w:val="0026588E"/>
    <w:rsid w:val="00266593"/>
    <w:rsid w:val="00273D95"/>
    <w:rsid w:val="0027407A"/>
    <w:rsid w:val="00283312"/>
    <w:rsid w:val="0029487F"/>
    <w:rsid w:val="0029591F"/>
    <w:rsid w:val="002965E0"/>
    <w:rsid w:val="002A73C2"/>
    <w:rsid w:val="002B09D1"/>
    <w:rsid w:val="002B63E7"/>
    <w:rsid w:val="002C02D3"/>
    <w:rsid w:val="002E3991"/>
    <w:rsid w:val="002F4A01"/>
    <w:rsid w:val="00301AEA"/>
    <w:rsid w:val="003021F7"/>
    <w:rsid w:val="00314CB7"/>
    <w:rsid w:val="00324B25"/>
    <w:rsid w:val="003416D9"/>
    <w:rsid w:val="003521B4"/>
    <w:rsid w:val="00364492"/>
    <w:rsid w:val="00374E23"/>
    <w:rsid w:val="00386738"/>
    <w:rsid w:val="003868BB"/>
    <w:rsid w:val="003947EB"/>
    <w:rsid w:val="003A2644"/>
    <w:rsid w:val="003A3A18"/>
    <w:rsid w:val="003A4CD1"/>
    <w:rsid w:val="003B1BED"/>
    <w:rsid w:val="003B4DE3"/>
    <w:rsid w:val="003C1466"/>
    <w:rsid w:val="003C1FA1"/>
    <w:rsid w:val="003D252D"/>
    <w:rsid w:val="003D4A1C"/>
    <w:rsid w:val="00405739"/>
    <w:rsid w:val="00414B8A"/>
    <w:rsid w:val="00420E7C"/>
    <w:rsid w:val="0042305E"/>
    <w:rsid w:val="004244E3"/>
    <w:rsid w:val="0043346D"/>
    <w:rsid w:val="00436037"/>
    <w:rsid w:val="004510C8"/>
    <w:rsid w:val="0045273B"/>
    <w:rsid w:val="004609B8"/>
    <w:rsid w:val="0046788A"/>
    <w:rsid w:val="00472600"/>
    <w:rsid w:val="00474F39"/>
    <w:rsid w:val="0047740B"/>
    <w:rsid w:val="004779FC"/>
    <w:rsid w:val="00487240"/>
    <w:rsid w:val="00496BF4"/>
    <w:rsid w:val="004A68B9"/>
    <w:rsid w:val="004C4A22"/>
    <w:rsid w:val="004D226F"/>
    <w:rsid w:val="004D2DA0"/>
    <w:rsid w:val="004D5771"/>
    <w:rsid w:val="004D6804"/>
    <w:rsid w:val="004E116C"/>
    <w:rsid w:val="004F391D"/>
    <w:rsid w:val="004F61F2"/>
    <w:rsid w:val="0050354E"/>
    <w:rsid w:val="00511270"/>
    <w:rsid w:val="0051710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35DC0"/>
    <w:rsid w:val="00657E8A"/>
    <w:rsid w:val="00686B4E"/>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0635"/>
    <w:rsid w:val="007327E1"/>
    <w:rsid w:val="00734183"/>
    <w:rsid w:val="00760B38"/>
    <w:rsid w:val="0077636A"/>
    <w:rsid w:val="007844B0"/>
    <w:rsid w:val="007846E8"/>
    <w:rsid w:val="00792ED6"/>
    <w:rsid w:val="007B3E2C"/>
    <w:rsid w:val="007B4612"/>
    <w:rsid w:val="007C3898"/>
    <w:rsid w:val="007D3AED"/>
    <w:rsid w:val="007D5BBA"/>
    <w:rsid w:val="007D5C6C"/>
    <w:rsid w:val="007E15D8"/>
    <w:rsid w:val="007E3ED7"/>
    <w:rsid w:val="007E65FF"/>
    <w:rsid w:val="007F5FB4"/>
    <w:rsid w:val="00802626"/>
    <w:rsid w:val="0081268A"/>
    <w:rsid w:val="00820862"/>
    <w:rsid w:val="008228D4"/>
    <w:rsid w:val="008254FC"/>
    <w:rsid w:val="00825D9A"/>
    <w:rsid w:val="00832C48"/>
    <w:rsid w:val="00841F51"/>
    <w:rsid w:val="00857F18"/>
    <w:rsid w:val="0086368E"/>
    <w:rsid w:val="00864323"/>
    <w:rsid w:val="00867335"/>
    <w:rsid w:val="008709D2"/>
    <w:rsid w:val="00873098"/>
    <w:rsid w:val="00873FF2"/>
    <w:rsid w:val="00876F70"/>
    <w:rsid w:val="008801C6"/>
    <w:rsid w:val="0088072F"/>
    <w:rsid w:val="00883CB7"/>
    <w:rsid w:val="00886AA7"/>
    <w:rsid w:val="00895F8F"/>
    <w:rsid w:val="008A09EA"/>
    <w:rsid w:val="008A4E4B"/>
    <w:rsid w:val="008A50EE"/>
    <w:rsid w:val="008B1B56"/>
    <w:rsid w:val="008B200E"/>
    <w:rsid w:val="008B2698"/>
    <w:rsid w:val="008B5BC6"/>
    <w:rsid w:val="008C34D8"/>
    <w:rsid w:val="008D1F9E"/>
    <w:rsid w:val="008D2CC3"/>
    <w:rsid w:val="008E05A0"/>
    <w:rsid w:val="008E51E7"/>
    <w:rsid w:val="008F3C2D"/>
    <w:rsid w:val="008F6176"/>
    <w:rsid w:val="0090227D"/>
    <w:rsid w:val="00904786"/>
    <w:rsid w:val="009121A6"/>
    <w:rsid w:val="00920FEF"/>
    <w:rsid w:val="00931C41"/>
    <w:rsid w:val="009435C3"/>
    <w:rsid w:val="0094422F"/>
    <w:rsid w:val="00947FDA"/>
    <w:rsid w:val="00961C09"/>
    <w:rsid w:val="009630DB"/>
    <w:rsid w:val="00965A5B"/>
    <w:rsid w:val="00971AD5"/>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66734"/>
    <w:rsid w:val="00A70D17"/>
    <w:rsid w:val="00A76835"/>
    <w:rsid w:val="00A82DED"/>
    <w:rsid w:val="00A83F2B"/>
    <w:rsid w:val="00A84791"/>
    <w:rsid w:val="00A86563"/>
    <w:rsid w:val="00A9290B"/>
    <w:rsid w:val="00A94858"/>
    <w:rsid w:val="00AA55B4"/>
    <w:rsid w:val="00AA5635"/>
    <w:rsid w:val="00AB52A2"/>
    <w:rsid w:val="00AC2B8F"/>
    <w:rsid w:val="00AC3924"/>
    <w:rsid w:val="00AD38A4"/>
    <w:rsid w:val="00AD62C2"/>
    <w:rsid w:val="00AE7E4B"/>
    <w:rsid w:val="00B019AA"/>
    <w:rsid w:val="00B1726F"/>
    <w:rsid w:val="00B27590"/>
    <w:rsid w:val="00B3308A"/>
    <w:rsid w:val="00B37480"/>
    <w:rsid w:val="00B4058F"/>
    <w:rsid w:val="00B51EC1"/>
    <w:rsid w:val="00B61B06"/>
    <w:rsid w:val="00B640DD"/>
    <w:rsid w:val="00B64138"/>
    <w:rsid w:val="00B74AD7"/>
    <w:rsid w:val="00B755A9"/>
    <w:rsid w:val="00B82F6B"/>
    <w:rsid w:val="00B92295"/>
    <w:rsid w:val="00BA7BDE"/>
    <w:rsid w:val="00BB0A26"/>
    <w:rsid w:val="00BD44BF"/>
    <w:rsid w:val="00BD57D9"/>
    <w:rsid w:val="00BD5843"/>
    <w:rsid w:val="00BD7DB2"/>
    <w:rsid w:val="00BE74A5"/>
    <w:rsid w:val="00BF0D7B"/>
    <w:rsid w:val="00C22ACA"/>
    <w:rsid w:val="00C257BA"/>
    <w:rsid w:val="00C265FE"/>
    <w:rsid w:val="00C42DE0"/>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22F8C"/>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5769"/>
    <w:rsid w:val="00E07DBF"/>
    <w:rsid w:val="00E22077"/>
    <w:rsid w:val="00E24ED3"/>
    <w:rsid w:val="00E309FD"/>
    <w:rsid w:val="00E3676B"/>
    <w:rsid w:val="00E37BB4"/>
    <w:rsid w:val="00E422C5"/>
    <w:rsid w:val="00E51CE7"/>
    <w:rsid w:val="00E532F5"/>
    <w:rsid w:val="00E54932"/>
    <w:rsid w:val="00E62115"/>
    <w:rsid w:val="00E63384"/>
    <w:rsid w:val="00E74631"/>
    <w:rsid w:val="00E81691"/>
    <w:rsid w:val="00E84F36"/>
    <w:rsid w:val="00E8575B"/>
    <w:rsid w:val="00EA01CC"/>
    <w:rsid w:val="00EA4240"/>
    <w:rsid w:val="00EB21C8"/>
    <w:rsid w:val="00EC1C05"/>
    <w:rsid w:val="00EC2F76"/>
    <w:rsid w:val="00EC3E1A"/>
    <w:rsid w:val="00EC6F8E"/>
    <w:rsid w:val="00ED3823"/>
    <w:rsid w:val="00ED38C1"/>
    <w:rsid w:val="00ED408C"/>
    <w:rsid w:val="00EF09B9"/>
    <w:rsid w:val="00EF3569"/>
    <w:rsid w:val="00F03770"/>
    <w:rsid w:val="00F07B5B"/>
    <w:rsid w:val="00F11173"/>
    <w:rsid w:val="00F13719"/>
    <w:rsid w:val="00F14073"/>
    <w:rsid w:val="00F276C7"/>
    <w:rsid w:val="00F328C1"/>
    <w:rsid w:val="00F41B56"/>
    <w:rsid w:val="00F45782"/>
    <w:rsid w:val="00F45B17"/>
    <w:rsid w:val="00F4796A"/>
    <w:rsid w:val="00F47D12"/>
    <w:rsid w:val="00F5068A"/>
    <w:rsid w:val="00F519F4"/>
    <w:rsid w:val="00F53F43"/>
    <w:rsid w:val="00F56973"/>
    <w:rsid w:val="00F65112"/>
    <w:rsid w:val="00F7082A"/>
    <w:rsid w:val="00F71001"/>
    <w:rsid w:val="00F73D30"/>
    <w:rsid w:val="00F96E0C"/>
    <w:rsid w:val="00FA0CE5"/>
    <w:rsid w:val="00FA5CE9"/>
    <w:rsid w:val="00FB107C"/>
    <w:rsid w:val="00FB40B1"/>
    <w:rsid w:val="00FB6C2D"/>
    <w:rsid w:val="00FC4F09"/>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1F16"/>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5@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56256-5C17-4B67-A140-B5C2EAC0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2962</Words>
  <Characters>16890</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25</cp:revision>
  <cp:lastPrinted>2024-10-31T11:18:00Z</cp:lastPrinted>
  <dcterms:created xsi:type="dcterms:W3CDTF">2024-10-31T11:19:00Z</dcterms:created>
  <dcterms:modified xsi:type="dcterms:W3CDTF">2024-12-23T10:47:00Z</dcterms:modified>
</cp:coreProperties>
</file>