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772951182"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772951182"/>
      <w:r w:rsidRPr="00886AA7">
        <w:rPr>
          <w:rFonts w:ascii="Sylfaen" w:hAnsi="Sylfaen"/>
          <w:b/>
          <w:bCs/>
          <w:sz w:val="20"/>
          <w:szCs w:val="20"/>
          <w:lang w:val="ka-GE"/>
        </w:rPr>
        <w:t xml:space="preserve"> ხელშეკრულებ</w:t>
      </w:r>
      <w:permStart w:id="532567082" w:edGrp="everyone"/>
      <w:r w:rsidR="00105838" w:rsidRPr="00886AA7">
        <w:rPr>
          <w:rFonts w:ascii="Sylfaen" w:hAnsi="Sylfaen"/>
          <w:b/>
          <w:bCs/>
          <w:sz w:val="20"/>
          <w:szCs w:val="20"/>
          <w:lang w:val="ka-GE"/>
        </w:rPr>
        <w:t>ის პროექტი</w:t>
      </w:r>
    </w:p>
    <w:permEnd w:id="532567082"/>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239300402" w:edGrp="everyone"/>
            <w:r w:rsidRPr="003947EB">
              <w:rPr>
                <w:rFonts w:ascii="Sylfaen" w:hAnsi="Sylfaen"/>
                <w:lang w:val="ka-GE"/>
              </w:rPr>
              <w:t>ქ.</w:t>
            </w:r>
            <w:r w:rsidR="007F7A6B">
              <w:rPr>
                <w:rFonts w:ascii="Sylfaen" w:hAnsi="Sylfaen"/>
                <w:lang w:val="ka-GE"/>
              </w:rPr>
              <w:t xml:space="preserve"> </w:t>
            </w:r>
            <w:r w:rsidRPr="003947EB">
              <w:rPr>
                <w:rFonts w:ascii="Sylfaen" w:hAnsi="Sylfaen"/>
                <w:lang w:val="ka-GE"/>
              </w:rPr>
              <w:t>თბილისი</w:t>
            </w:r>
            <w:permEnd w:id="239300402"/>
          </w:p>
        </w:tc>
        <w:tc>
          <w:tcPr>
            <w:tcW w:w="5025" w:type="dxa"/>
          </w:tcPr>
          <w:p w:rsidR="00364492" w:rsidRPr="003947EB" w:rsidRDefault="00364492" w:rsidP="00657E8A">
            <w:pPr>
              <w:spacing w:line="276" w:lineRule="auto"/>
              <w:ind w:firstLine="3509"/>
              <w:jc w:val="both"/>
              <w:rPr>
                <w:rFonts w:ascii="Sylfaen" w:hAnsi="Sylfaen"/>
                <w:lang w:val="ka-GE"/>
              </w:rPr>
            </w:pPr>
            <w:permStart w:id="1682267968" w:edGrp="everyone"/>
            <w:r w:rsidRPr="003947EB">
              <w:rPr>
                <w:rFonts w:ascii="Sylfaen" w:hAnsi="Sylfaen"/>
                <w:lang w:val="ka-GE"/>
              </w:rPr>
              <w:t xml:space="preserve">_____________ </w:t>
            </w:r>
            <w:permEnd w:id="1682267968"/>
          </w:p>
        </w:tc>
      </w:tr>
    </w:tbl>
    <w:p w:rsidR="00364492" w:rsidRDefault="00364492" w:rsidP="004779FC">
      <w:pPr>
        <w:pStyle w:val="ListParagraph"/>
        <w:spacing w:afterLines="200" w:after="480" w:line="276" w:lineRule="auto"/>
        <w:ind w:left="0"/>
        <w:mirrorIndents/>
        <w:jc w:val="both"/>
        <w:rPr>
          <w:rFonts w:ascii="Sylfaen" w:hAnsi="Sylfaen"/>
          <w:bCs/>
          <w:sz w:val="20"/>
          <w:szCs w:val="20"/>
          <w:lang w:val="ka-GE"/>
        </w:rPr>
      </w:pPr>
    </w:p>
    <w:p w:rsidR="009D0150" w:rsidRPr="003947EB" w:rsidRDefault="009D0150"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136228962" w:edGrp="everyone"/>
      <w:r w:rsidRPr="003947EB">
        <w:rPr>
          <w:rFonts w:ascii="Sylfaen" w:hAnsi="Sylfaen" w:cs="Sylfaen"/>
          <w:sz w:val="20"/>
          <w:szCs w:val="20"/>
          <w:lang w:val="ka-GE"/>
        </w:rPr>
        <w:t xml:space="preserve">_________________ _________________ </w:t>
      </w:r>
      <w:permEnd w:id="1136228962"/>
      <w:r w:rsidRPr="003947EB">
        <w:rPr>
          <w:rFonts w:ascii="Sylfaen" w:hAnsi="Sylfaen" w:cs="Sylfaen"/>
          <w:sz w:val="20"/>
          <w:szCs w:val="20"/>
          <w:lang w:val="ka-GE"/>
        </w:rPr>
        <w:t xml:space="preserve">შემდგომში „შემსყიდველი“, წარმოდგენილი მისი </w:t>
      </w:r>
      <w:permStart w:id="140336294" w:edGrp="everyone"/>
      <w:r w:rsidRPr="003947EB">
        <w:rPr>
          <w:bCs/>
          <w:sz w:val="20"/>
          <w:szCs w:val="20"/>
        </w:rPr>
        <w:t>_________________</w:t>
      </w:r>
      <w:permEnd w:id="140336294"/>
      <w:r w:rsidRPr="003947EB">
        <w:rPr>
          <w:bCs/>
          <w:sz w:val="20"/>
          <w:szCs w:val="20"/>
        </w:rPr>
        <w:t xml:space="preserve"> </w:t>
      </w:r>
      <w:r w:rsidRPr="003947EB">
        <w:rPr>
          <w:rFonts w:ascii="Sylfaen" w:hAnsi="Sylfaen" w:cs="Sylfaen"/>
          <w:sz w:val="20"/>
          <w:szCs w:val="20"/>
          <w:lang w:val="ka-GE"/>
        </w:rPr>
        <w:t>სახით და მეორე მხრივ</w:t>
      </w:r>
      <w:r w:rsidR="00342344">
        <w:rPr>
          <w:rFonts w:ascii="Sylfaen" w:hAnsi="Sylfaen" w:cs="Sylfaen"/>
          <w:sz w:val="20"/>
          <w:szCs w:val="20"/>
        </w:rPr>
        <w:t xml:space="preserve">, </w:t>
      </w:r>
      <w:r w:rsidR="00342344">
        <w:rPr>
          <w:rFonts w:ascii="Sylfaen" w:hAnsi="Sylfaen" w:cs="Sylfaen"/>
          <w:sz w:val="20"/>
          <w:szCs w:val="20"/>
          <w:lang w:val="ka-GE"/>
        </w:rPr>
        <w:t>შპს „</w:t>
      </w:r>
      <w:r w:rsidR="00C63353">
        <w:rPr>
          <w:rFonts w:ascii="Sylfaen" w:hAnsi="Sylfaen" w:cs="Sylfaen"/>
          <w:sz w:val="20"/>
          <w:szCs w:val="20"/>
          <w:lang w:val="ka-GE"/>
        </w:rPr>
        <w:t>პი.ემ.ჯი</w:t>
      </w:r>
      <w:r w:rsidR="00342344">
        <w:rPr>
          <w:rFonts w:ascii="Sylfaen" w:hAnsi="Sylfaen" w:cs="Sylfaen"/>
          <w:sz w:val="20"/>
          <w:szCs w:val="20"/>
          <w:lang w:val="ka-GE"/>
        </w:rPr>
        <w:t>“ (ს/კ</w:t>
      </w:r>
      <w:r w:rsidR="00D028A9">
        <w:rPr>
          <w:rFonts w:ascii="Sylfaen" w:hAnsi="Sylfaen" w:cs="Sylfaen"/>
          <w:sz w:val="20"/>
          <w:szCs w:val="20"/>
          <w:lang w:val="ka-GE"/>
        </w:rPr>
        <w:t xml:space="preserve"> </w:t>
      </w:r>
      <w:r w:rsidR="00C63353" w:rsidRPr="00C63353">
        <w:rPr>
          <w:rFonts w:ascii="Sylfaen" w:hAnsi="Sylfaen" w:cs="Sylfaen"/>
          <w:sz w:val="20"/>
          <w:szCs w:val="20"/>
        </w:rPr>
        <w:t>404863803</w:t>
      </w:r>
      <w:r w:rsidR="00342344">
        <w:rPr>
          <w:rFonts w:ascii="Sylfaen" w:hAnsi="Sylfaen" w:cs="Sylfaen"/>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518144384" w:edGrp="everyone"/>
      <w:r w:rsidRPr="003947EB">
        <w:rPr>
          <w:bCs/>
          <w:sz w:val="20"/>
          <w:szCs w:val="20"/>
        </w:rPr>
        <w:t>_________________</w:t>
      </w:r>
      <w:permEnd w:id="1518144384"/>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ბრძანებით დამ</w:t>
      </w:r>
      <w:bookmarkStart w:id="1" w:name="_GoBack"/>
      <w:bookmarkEnd w:id="1"/>
      <w:r w:rsidRPr="00AB52A2">
        <w:rPr>
          <w:rFonts w:ascii="Sylfaen" w:hAnsi="Sylfaen" w:cs="Sylfaen"/>
          <w:bCs/>
          <w:sz w:val="20"/>
          <w:szCs w:val="20"/>
        </w:rPr>
        <w:t xml:space="preserve">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2" w:name="_Hlk536010479"/>
      <w:r w:rsidR="00436037" w:rsidRPr="00515298">
        <w:rPr>
          <w:rFonts w:ascii="Sylfaen" w:hAnsi="Sylfaen" w:cs="Sylfaen"/>
          <w:bCs/>
          <w:sz w:val="20"/>
          <w:szCs w:val="20"/>
        </w:rPr>
        <w:t>„202</w:t>
      </w:r>
      <w:r w:rsidR="00F243BF" w:rsidRPr="00515298">
        <w:rPr>
          <w:rFonts w:ascii="Sylfaen" w:hAnsi="Sylfaen" w:cs="Sylfaen"/>
          <w:bCs/>
          <w:sz w:val="20"/>
          <w:szCs w:val="20"/>
          <w:lang w:val="ka-GE"/>
        </w:rPr>
        <w:t>6</w:t>
      </w:r>
      <w:r w:rsidR="00436037" w:rsidRPr="00515298">
        <w:rPr>
          <w:rFonts w:ascii="Sylfaen" w:hAnsi="Sylfaen" w:cs="Sylfaen"/>
          <w:bCs/>
          <w:sz w:val="20"/>
          <w:szCs w:val="20"/>
          <w:lang w:val="ka-GE"/>
        </w:rPr>
        <w:t>-</w:t>
      </w:r>
      <w:r w:rsidR="00436037" w:rsidRPr="00515298">
        <w:rPr>
          <w:rFonts w:ascii="Sylfaen" w:hAnsi="Sylfaen" w:cs="Sylfaen"/>
          <w:bCs/>
          <w:sz w:val="20"/>
          <w:szCs w:val="20"/>
        </w:rPr>
        <w:t>202</w:t>
      </w:r>
      <w:r w:rsidR="00F243BF" w:rsidRPr="00515298">
        <w:rPr>
          <w:rFonts w:ascii="Sylfaen" w:hAnsi="Sylfaen" w:cs="Sylfaen"/>
          <w:bCs/>
          <w:sz w:val="20"/>
          <w:szCs w:val="20"/>
          <w:lang w:val="ka-GE"/>
        </w:rPr>
        <w:t>7</w:t>
      </w:r>
      <w:r w:rsidR="00436037" w:rsidRPr="0051529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w:t>
      </w:r>
      <w:r w:rsidR="00F243BF" w:rsidRPr="00515298">
        <w:rPr>
          <w:rFonts w:ascii="Sylfaen" w:hAnsi="Sylfaen" w:cs="Sylfaen"/>
          <w:bCs/>
          <w:sz w:val="20"/>
          <w:szCs w:val="20"/>
          <w:lang w:val="ka-GE"/>
        </w:rPr>
        <w:t>5</w:t>
      </w:r>
      <w:r w:rsidR="00436037" w:rsidRPr="00515298">
        <w:rPr>
          <w:rFonts w:ascii="Sylfaen" w:hAnsi="Sylfaen" w:cs="Sylfaen"/>
          <w:bCs/>
          <w:sz w:val="20"/>
          <w:szCs w:val="20"/>
        </w:rPr>
        <w:t xml:space="preserve"> წლის </w:t>
      </w:r>
      <w:r w:rsidR="00F243BF" w:rsidRPr="00515298">
        <w:rPr>
          <w:rFonts w:ascii="Sylfaen" w:hAnsi="Sylfaen" w:cs="Sylfaen"/>
          <w:bCs/>
          <w:sz w:val="21"/>
          <w:szCs w:val="21"/>
          <w:lang w:val="ka-GE"/>
        </w:rPr>
        <w:t xml:space="preserve">29 სექტემბრის </w:t>
      </w:r>
      <w:r w:rsidR="00F243BF" w:rsidRPr="00515298">
        <w:rPr>
          <w:rFonts w:ascii="Sylfaen" w:hAnsi="Sylfaen" w:cs="Sylfaen"/>
          <w:bCs/>
          <w:sz w:val="21"/>
          <w:szCs w:val="21"/>
        </w:rPr>
        <w:t>N</w:t>
      </w:r>
      <w:r w:rsidR="00F243BF" w:rsidRPr="00515298">
        <w:rPr>
          <w:rFonts w:ascii="Sylfaen" w:hAnsi="Sylfaen" w:cs="Sylfaen"/>
          <w:bCs/>
          <w:sz w:val="21"/>
          <w:szCs w:val="21"/>
          <w:lang w:val="ka-GE"/>
        </w:rPr>
        <w:t>1575</w:t>
      </w:r>
      <w:r w:rsidR="00F243BF" w:rsidRPr="00515298">
        <w:rPr>
          <w:rFonts w:ascii="Sylfaen" w:hAnsi="Sylfaen" w:cs="Sylfaen"/>
          <w:bCs/>
          <w:sz w:val="21"/>
          <w:szCs w:val="21"/>
        </w:rPr>
        <w:t xml:space="preserve"> განკარგულების </w:t>
      </w:r>
      <w:r w:rsidR="00F243BF" w:rsidRPr="00515298">
        <w:rPr>
          <w:rFonts w:ascii="Sylfaen" w:hAnsi="Sylfaen" w:cs="Sylfaen"/>
          <w:bCs/>
          <w:sz w:val="21"/>
          <w:szCs w:val="21"/>
          <w:lang w:val="ka-GE"/>
        </w:rPr>
        <w:t xml:space="preserve">პირველი მუხლის „კ“ </w:t>
      </w:r>
      <w:r w:rsidR="00436037" w:rsidRPr="00AB52A2">
        <w:rPr>
          <w:rFonts w:ascii="Sylfaen" w:hAnsi="Sylfaen" w:cs="Sylfaen"/>
          <w:bCs/>
          <w:sz w:val="20"/>
          <w:szCs w:val="20"/>
          <w:lang w:val="ka-GE"/>
        </w:rPr>
        <w:t>ქვეპუნქტის</w:t>
      </w:r>
      <w:r w:rsidR="00436037" w:rsidRPr="00AB52A2">
        <w:rPr>
          <w:rFonts w:ascii="Sylfaen" w:hAnsi="Sylfaen" w:cs="Sylfaen"/>
          <w:bCs/>
          <w:sz w:val="20"/>
          <w:szCs w:val="20"/>
        </w:rPr>
        <w:t xml:space="preserve">  საფუძველზე,</w:t>
      </w:r>
      <w:bookmarkEnd w:id="2"/>
      <w:r w:rsidR="00436037" w:rsidRPr="00AB52A2">
        <w:rPr>
          <w:rFonts w:ascii="Sylfaen" w:hAnsi="Sylfaen" w:cs="Sylfaen"/>
          <w:bCs/>
          <w:sz w:val="20"/>
          <w:szCs w:val="20"/>
        </w:rPr>
        <w:t xml:space="preserve"> ვდებთ</w:t>
      </w:r>
      <w:r w:rsidR="00436037" w:rsidRPr="003947EB">
        <w:rPr>
          <w:rFonts w:ascii="Sylfaen" w:hAnsi="Sylfaen" w:cs="Sylfaen"/>
          <w:bCs/>
          <w:sz w:val="20"/>
          <w:szCs w:val="20"/>
        </w:rPr>
        <w:t xml:space="preserve"> წინამდებარე ხელშეკრულებას შემდეგზე:</w:t>
      </w:r>
    </w:p>
    <w:p w:rsidR="00364492"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B86BC0" w:rsidRDefault="00B86BC0"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B86BC0" w:rsidRPr="00886AA7" w:rsidRDefault="00B86BC0"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342344">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342344" w:rsidRPr="00342344">
        <w:rPr>
          <w:rFonts w:ascii="Sylfaen" w:hAnsi="Sylfaen" w:cs="Sylfaen"/>
          <w:sz w:val="20"/>
          <w:szCs w:val="20"/>
          <w:lang w:val="ka-GE"/>
        </w:rPr>
        <w:t>CON250000</w:t>
      </w:r>
      <w:r w:rsidR="00D137A8">
        <w:rPr>
          <w:rFonts w:ascii="Sylfaen" w:hAnsi="Sylfaen" w:cs="Sylfaen"/>
          <w:sz w:val="20"/>
          <w:szCs w:val="20"/>
        </w:rPr>
        <w:t>427</w:t>
      </w:r>
      <w:r w:rsidR="00342344">
        <w:rPr>
          <w:rFonts w:ascii="Sylfaen" w:hAnsi="Sylfaen" w:cs="Sylfaen"/>
          <w:sz w:val="20"/>
          <w:szCs w:val="20"/>
          <w:lang w:val="ka-GE"/>
        </w:rPr>
        <w:t xml:space="preserve"> </w:t>
      </w:r>
      <w:r w:rsidRPr="00342344">
        <w:rPr>
          <w:rFonts w:ascii="Sylfaen" w:hAnsi="Sylfaen" w:cs="Sylfaen"/>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42344">
        <w:rPr>
          <w:rFonts w:ascii="Sylfaen" w:hAnsi="Sylfaen" w:cs="Sylfaen"/>
          <w:sz w:val="20"/>
          <w:szCs w:val="20"/>
          <w:lang w:val="ka-GE"/>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515298"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w:t>
      </w:r>
      <w:r w:rsidRPr="00515298">
        <w:rPr>
          <w:rFonts w:ascii="Sylfaen" w:hAnsi="Sylfaen" w:cs="Sylfaen"/>
          <w:sz w:val="20"/>
          <w:szCs w:val="20"/>
          <w:lang w:val="ka-GE"/>
        </w:rPr>
        <w:t xml:space="preserve">- </w:t>
      </w:r>
      <w:r w:rsidR="00FD3931" w:rsidRPr="00515298">
        <w:rPr>
          <w:rFonts w:ascii="Sylfaen" w:hAnsi="Sylfaen" w:cs="Sylfaen"/>
          <w:bCs/>
          <w:sz w:val="20"/>
          <w:szCs w:val="20"/>
        </w:rPr>
        <w:t>202</w:t>
      </w:r>
      <w:r w:rsidR="00F243BF" w:rsidRPr="00515298">
        <w:rPr>
          <w:rFonts w:ascii="Sylfaen" w:hAnsi="Sylfaen" w:cs="Sylfaen"/>
          <w:bCs/>
          <w:sz w:val="20"/>
          <w:szCs w:val="20"/>
          <w:lang w:val="ka-GE"/>
        </w:rPr>
        <w:t>6</w:t>
      </w:r>
      <w:r w:rsidR="00FD3931" w:rsidRPr="00515298">
        <w:rPr>
          <w:rFonts w:ascii="Sylfaen" w:hAnsi="Sylfaen" w:cs="Sylfaen"/>
          <w:bCs/>
          <w:sz w:val="20"/>
          <w:szCs w:val="20"/>
          <w:lang w:val="ka-GE"/>
        </w:rPr>
        <w:t>-</w:t>
      </w:r>
      <w:r w:rsidR="00FD3931" w:rsidRPr="00515298">
        <w:rPr>
          <w:rFonts w:ascii="Sylfaen" w:hAnsi="Sylfaen" w:cs="Sylfaen"/>
          <w:bCs/>
          <w:sz w:val="20"/>
          <w:szCs w:val="20"/>
        </w:rPr>
        <w:t>202</w:t>
      </w:r>
      <w:r w:rsidR="00F243BF" w:rsidRPr="00515298">
        <w:rPr>
          <w:rFonts w:ascii="Sylfaen" w:hAnsi="Sylfaen" w:cs="Sylfaen"/>
          <w:bCs/>
          <w:sz w:val="20"/>
          <w:szCs w:val="20"/>
          <w:lang w:val="ka-GE"/>
        </w:rPr>
        <w:t>7</w:t>
      </w:r>
      <w:r w:rsidR="00FD3931" w:rsidRPr="0051529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515298">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F243BF">
        <w:rPr>
          <w:rFonts w:ascii="Sylfaen" w:hAnsi="Sylfaen" w:cs="Sylfaen"/>
          <w:sz w:val="20"/>
          <w:szCs w:val="20"/>
          <w:lang w:val="ka-GE"/>
        </w:rPr>
        <w:t>6</w:t>
      </w:r>
      <w:r w:rsidR="004779FC" w:rsidRPr="004779FC">
        <w:rPr>
          <w:rFonts w:ascii="Sylfaen" w:hAnsi="Sylfaen" w:cs="Sylfaen"/>
          <w:sz w:val="20"/>
          <w:szCs w:val="20"/>
          <w:lang w:val="ka-GE"/>
        </w:rPr>
        <w:t xml:space="preserve"> წლის კონსოლიდირებული ტენდერის </w:t>
      </w:r>
      <w:r w:rsidR="00571EA5">
        <w:rPr>
          <w:rFonts w:ascii="Sylfaen" w:hAnsi="Sylfaen" w:cs="Sylfaen"/>
          <w:sz w:val="20"/>
          <w:szCs w:val="20"/>
          <w:lang w:val="ka-GE"/>
        </w:rPr>
        <w:t>(</w:t>
      </w:r>
      <w:r w:rsidR="00D137A8">
        <w:rPr>
          <w:rFonts w:ascii="Sylfaen" w:hAnsi="Sylfaen" w:cs="Sylfaen"/>
          <w:sz w:val="20"/>
          <w:szCs w:val="20"/>
          <w:lang w:val="ka-GE"/>
        </w:rPr>
        <w:t>CON250000</w:t>
      </w:r>
      <w:r w:rsidR="00D137A8">
        <w:rPr>
          <w:rFonts w:ascii="Sylfaen" w:hAnsi="Sylfaen" w:cs="Sylfaen"/>
          <w:sz w:val="20"/>
          <w:szCs w:val="20"/>
        </w:rPr>
        <w:t>427</w:t>
      </w:r>
      <w:r w:rsidR="00571EA5">
        <w:rPr>
          <w:rFonts w:ascii="Sylfaen" w:hAnsi="Sylfaen" w:cs="Sylfaen"/>
          <w:sz w:val="20"/>
          <w:szCs w:val="20"/>
          <w:lang w:val="ka-GE"/>
        </w:rPr>
        <w:t>)</w:t>
      </w:r>
      <w:r w:rsidR="00291696">
        <w:rPr>
          <w:rFonts w:ascii="Sylfaen" w:hAnsi="Sylfaen" w:cs="Sylfaen"/>
          <w:sz w:val="20"/>
          <w:szCs w:val="20"/>
          <w:lang w:val="ka-GE"/>
        </w:rPr>
        <w:t xml:space="preserve"> </w:t>
      </w:r>
      <w:r w:rsidR="004779FC" w:rsidRPr="004779FC">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B86BC0" w:rsidRPr="004779FC" w:rsidRDefault="00B86BC0"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lastRenderedPageBreak/>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533546662" w:edGrp="everyone"/>
      <w:r w:rsidRPr="004779FC">
        <w:rPr>
          <w:bCs/>
        </w:rPr>
        <w:t xml:space="preserve">_________________ </w:t>
      </w:r>
      <w:permEnd w:id="533546662"/>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კერძოდ</w:t>
      </w:r>
      <w:r w:rsidR="00C63353">
        <w:rPr>
          <w:rFonts w:ascii="Sylfaen" w:hAnsi="Sylfaen" w:cs="Sylfaen"/>
          <w:sz w:val="20"/>
          <w:szCs w:val="20"/>
          <w:lang w:val="ka-GE"/>
        </w:rPr>
        <w:t xml:space="preserve">, </w:t>
      </w:r>
      <w:permStart w:id="1787105073" w:edGrp="everyone"/>
      <w:r w:rsidR="001C4F98" w:rsidRPr="00B251B5">
        <w:rPr>
          <w:rFonts w:ascii="Sylfaen" w:hAnsi="Sylfaen" w:cs="Sylfaen"/>
          <w:sz w:val="20"/>
          <w:szCs w:val="20"/>
          <w:lang w:val="ka-GE"/>
        </w:rPr>
        <w:t xml:space="preserve">ვინილისა და </w:t>
      </w:r>
      <w:proofErr w:type="spellStart"/>
      <w:r w:rsidR="001C4F98" w:rsidRPr="00B251B5">
        <w:rPr>
          <w:rFonts w:ascii="Sylfaen" w:hAnsi="Sylfaen" w:cs="Sylfaen"/>
          <w:sz w:val="20"/>
          <w:szCs w:val="20"/>
          <w:lang w:val="ka-GE"/>
        </w:rPr>
        <w:t>ნიტრილის</w:t>
      </w:r>
      <w:proofErr w:type="spellEnd"/>
      <w:r w:rsidR="001C4F98" w:rsidRPr="00B251B5">
        <w:rPr>
          <w:rFonts w:ascii="Sylfaen" w:hAnsi="Sylfaen" w:cs="Sylfaen"/>
          <w:sz w:val="20"/>
          <w:szCs w:val="20"/>
          <w:lang w:val="ka-GE"/>
        </w:rPr>
        <w:t xml:space="preserve"> ტიპის ხელთათმანების</w:t>
      </w:r>
      <w:r w:rsidR="001C4F98">
        <w:rPr>
          <w:rFonts w:ascii="Sylfaen" w:hAnsi="Sylfaen" w:cs="Sylfaen"/>
          <w:sz w:val="20"/>
          <w:szCs w:val="20"/>
        </w:rPr>
        <w:t xml:space="preserve"> </w:t>
      </w:r>
      <w:permEnd w:id="1787105073"/>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w:t>
      </w:r>
      <w:r w:rsidR="00291696">
        <w:rPr>
          <w:rFonts w:ascii="Sylfaen" w:hAnsi="Sylfaen" w:cs="Sylfaen"/>
          <w:sz w:val="20"/>
          <w:szCs w:val="20"/>
          <w:lang w:val="ka-GE"/>
        </w:rPr>
        <w:t xml:space="preserve"> (</w:t>
      </w:r>
      <w:r w:rsidR="00C63353">
        <w:rPr>
          <w:rFonts w:ascii="Sylfaen" w:hAnsi="Sylfaen" w:cs="Sylfaen"/>
          <w:sz w:val="20"/>
          <w:szCs w:val="20"/>
          <w:lang w:val="ka-GE"/>
        </w:rPr>
        <w:t>CON250000</w:t>
      </w:r>
      <w:r w:rsidR="00D137A8">
        <w:rPr>
          <w:rFonts w:ascii="Sylfaen" w:hAnsi="Sylfaen" w:cs="Sylfaen"/>
          <w:sz w:val="20"/>
          <w:szCs w:val="20"/>
        </w:rPr>
        <w:t>427</w:t>
      </w:r>
      <w:r w:rsidR="00291696">
        <w:rPr>
          <w:rFonts w:ascii="Sylfaen" w:hAnsi="Sylfaen" w:cs="Sylfaen"/>
          <w:sz w:val="20"/>
          <w:szCs w:val="20"/>
          <w:lang w:val="ka-GE"/>
        </w:rPr>
        <w:t xml:space="preserve">) </w:t>
      </w:r>
      <w:r w:rsidRPr="00487240">
        <w:rPr>
          <w:rFonts w:ascii="Sylfaen" w:hAnsi="Sylfaen" w:cs="Sylfaen"/>
          <w:sz w:val="20"/>
          <w:szCs w:val="20"/>
          <w:lang w:val="ka-GE"/>
        </w:rPr>
        <w:t>საშუალებით შესყიდვა.</w:t>
      </w:r>
    </w:p>
    <w:p w:rsidR="001C4F98" w:rsidRPr="001C4F98" w:rsidRDefault="00AD62C2" w:rsidP="0044249F">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1C4F98">
        <w:rPr>
          <w:rFonts w:ascii="Sylfaen" w:hAnsi="Sylfaen" w:cs="Sylfaen"/>
          <w:sz w:val="20"/>
          <w:szCs w:val="20"/>
          <w:lang w:val="ka-GE"/>
        </w:rPr>
        <w:t xml:space="preserve">შესყიდვის ობიექტია </w:t>
      </w:r>
      <w:r w:rsidR="003416D9" w:rsidRPr="001C4F98">
        <w:rPr>
          <w:rFonts w:ascii="Sylfaen" w:hAnsi="Sylfaen" w:cs="Sylfaen"/>
          <w:sz w:val="20"/>
          <w:szCs w:val="20"/>
          <w:lang w:val="ka-GE"/>
        </w:rPr>
        <w:t>სამედიცინო სახარჯი მასალა</w:t>
      </w:r>
      <w:r w:rsidR="00A54B1F" w:rsidRPr="001C4F98">
        <w:rPr>
          <w:rFonts w:ascii="Sylfaen" w:hAnsi="Sylfaen" w:cs="Sylfaen"/>
          <w:sz w:val="20"/>
          <w:szCs w:val="20"/>
          <w:lang w:val="ka-GE"/>
        </w:rPr>
        <w:t>, კერძოდ</w:t>
      </w:r>
      <w:r w:rsidR="00C63353" w:rsidRPr="001C4F98">
        <w:rPr>
          <w:rFonts w:ascii="Sylfaen" w:hAnsi="Sylfaen" w:cs="Sylfaen"/>
          <w:sz w:val="20"/>
          <w:szCs w:val="20"/>
          <w:lang w:val="ka-GE"/>
        </w:rPr>
        <w:t xml:space="preserve">, </w:t>
      </w:r>
      <w:permStart w:id="1395413996" w:edGrp="everyone"/>
      <w:r w:rsidR="001C4F98" w:rsidRPr="00B251B5">
        <w:rPr>
          <w:rFonts w:ascii="Sylfaen" w:hAnsi="Sylfaen" w:cs="Sylfaen"/>
          <w:sz w:val="20"/>
          <w:szCs w:val="20"/>
          <w:lang w:val="ka-GE"/>
        </w:rPr>
        <w:t xml:space="preserve">ვინილისა და </w:t>
      </w:r>
      <w:proofErr w:type="spellStart"/>
      <w:r w:rsidR="001C4F98" w:rsidRPr="00B251B5">
        <w:rPr>
          <w:rFonts w:ascii="Sylfaen" w:hAnsi="Sylfaen" w:cs="Sylfaen"/>
          <w:sz w:val="20"/>
          <w:szCs w:val="20"/>
          <w:lang w:val="ka-GE"/>
        </w:rPr>
        <w:t>ნიტრილის</w:t>
      </w:r>
      <w:proofErr w:type="spellEnd"/>
      <w:r w:rsidR="001C4F98" w:rsidRPr="00B251B5">
        <w:rPr>
          <w:rFonts w:ascii="Sylfaen" w:hAnsi="Sylfaen" w:cs="Sylfaen"/>
          <w:sz w:val="20"/>
          <w:szCs w:val="20"/>
          <w:lang w:val="ka-GE"/>
        </w:rPr>
        <w:t xml:space="preserve"> ტიპის ხელთათმანები</w:t>
      </w:r>
      <w:r w:rsidR="001C4F98">
        <w:rPr>
          <w:rFonts w:ascii="Sylfaen" w:hAnsi="Sylfaen" w:cs="Sylfaen"/>
          <w:sz w:val="20"/>
          <w:szCs w:val="20"/>
        </w:rPr>
        <w:t>.</w:t>
      </w:r>
      <w:r w:rsidR="001C4F98">
        <w:rPr>
          <w:rFonts w:ascii="Sylfaen" w:hAnsi="Sylfaen" w:cs="Sylfaen"/>
          <w:sz w:val="20"/>
          <w:szCs w:val="20"/>
        </w:rPr>
        <w:t xml:space="preserve"> </w:t>
      </w:r>
      <w:permEnd w:id="1395413996"/>
    </w:p>
    <w:p w:rsidR="00AD62C2" w:rsidRPr="001C4F98" w:rsidRDefault="00AD62C2" w:rsidP="0044249F">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1C4F98">
        <w:rPr>
          <w:rFonts w:ascii="Sylfaen" w:hAnsi="Sylfaen" w:cs="Sylfaen"/>
          <w:sz w:val="20"/>
          <w:szCs w:val="20"/>
          <w:lang w:val="ka-GE"/>
        </w:rPr>
        <w:t>საქონლის დეტალური აღწერა, რაოდენობა, ტექნიკური მახასიათებლები და ღირებ</w:t>
      </w:r>
      <w:r w:rsidR="00F71001" w:rsidRPr="001C4F98">
        <w:rPr>
          <w:rFonts w:ascii="Sylfaen" w:hAnsi="Sylfaen" w:cs="Sylfaen"/>
          <w:sz w:val="20"/>
          <w:szCs w:val="20"/>
          <w:lang w:val="ka-GE"/>
        </w:rPr>
        <w:t>უ</w:t>
      </w:r>
      <w:r w:rsidRPr="001C4F98">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18836452"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018836452"/>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053974882"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053974882"/>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2135051422" w:edGrp="everyone"/>
      <w:r w:rsidRPr="004779FC">
        <w:rPr>
          <w:rFonts w:ascii="Sylfaen" w:hAnsi="Sylfaen" w:cs="Sylfaen"/>
          <w:sz w:val="20"/>
          <w:szCs w:val="20"/>
          <w:lang w:val="ka-GE"/>
        </w:rPr>
        <w:t xml:space="preserve">____________________________________________ </w:t>
      </w:r>
      <w:permEnd w:id="2135051422"/>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650084097"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650084097"/>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276452174"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276452174"/>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lastRenderedPageBreak/>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895781450" w:edGrp="everyone"/>
      <w:r w:rsidRPr="00657E8A">
        <w:rPr>
          <w:rFonts w:ascii="Sylfaen" w:hAnsi="Sylfaen" w:cs="Sylfaen"/>
          <w:sz w:val="20"/>
          <w:szCs w:val="20"/>
          <w:lang w:val="ka-GE"/>
        </w:rPr>
        <w:t>___________________________________,</w:t>
      </w:r>
      <w:permEnd w:id="1895781450"/>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2028418601" w:edGrp="everyone"/>
      <w:r w:rsidRPr="00657E8A">
        <w:rPr>
          <w:rFonts w:ascii="Sylfaen" w:hAnsi="Sylfaen" w:cs="Sylfaen"/>
          <w:sz w:val="20"/>
          <w:szCs w:val="20"/>
          <w:lang w:val="ka-GE"/>
        </w:rPr>
        <w:t>___________________________________.</w:t>
      </w:r>
      <w:permEnd w:id="2028418601"/>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1C7B4C" w:rsidRDefault="001C7B4C"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467206187"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CD2275">
        <w:rPr>
          <w:rFonts w:ascii="Sylfaen" w:hAnsi="Sylfaen" w:cs="Sylfaen"/>
          <w:sz w:val="20"/>
          <w:szCs w:val="20"/>
          <w:lang w:val="ka-GE"/>
        </w:rPr>
        <w:t>26</w:t>
      </w:r>
      <w:r>
        <w:rPr>
          <w:rFonts w:ascii="Sylfaen" w:hAnsi="Sylfaen" w:cs="Sylfaen"/>
          <w:sz w:val="20"/>
          <w:szCs w:val="20"/>
          <w:lang w:val="ka-GE"/>
        </w:rPr>
        <w:t xml:space="preserve"> წლის  </w:t>
      </w:r>
      <w:r w:rsidR="00CD2275">
        <w:rPr>
          <w:rFonts w:ascii="Sylfaen" w:hAnsi="Sylfaen" w:cs="Sylfaen"/>
          <w:sz w:val="20"/>
          <w:szCs w:val="20"/>
          <w:lang w:val="ka-GE"/>
        </w:rPr>
        <w:t>_______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467206187"/>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231060088"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F243BF">
        <w:rPr>
          <w:rFonts w:ascii="Sylfaen" w:hAnsi="Sylfaen" w:cs="Sylfaen"/>
          <w:sz w:val="20"/>
          <w:szCs w:val="20"/>
          <w:lang w:val="ka-GE"/>
        </w:rPr>
        <w:t>6</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Pr="00B6413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231060088"/>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E0819" w:rsidRPr="00544403" w:rsidRDefault="004E0819" w:rsidP="004E0819">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544403">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819" w:rsidRDefault="004E0819" w:rsidP="004E0819">
      <w:pPr>
        <w:pStyle w:val="ListParagraph"/>
        <w:spacing w:afterLines="200" w:after="480" w:line="276" w:lineRule="auto"/>
        <w:ind w:left="432"/>
        <w:mirrorIndents/>
        <w:jc w:val="both"/>
        <w:rPr>
          <w:rFonts w:ascii="Sylfaen" w:hAnsi="Sylfaen" w:cs="Sylfaen"/>
          <w:sz w:val="20"/>
          <w:szCs w:val="20"/>
          <w:lang w:val="ka-GE"/>
        </w:rPr>
      </w:pPr>
    </w:p>
    <w:p w:rsidR="00B86BC0" w:rsidRPr="004E0819" w:rsidRDefault="00B86BC0" w:rsidP="004E0819">
      <w:pPr>
        <w:pStyle w:val="ListParagraph"/>
        <w:spacing w:afterLines="200" w:after="480" w:line="276" w:lineRule="auto"/>
        <w:ind w:left="432"/>
        <w:mirrorIndents/>
        <w:jc w:val="both"/>
        <w:rPr>
          <w:rFonts w:ascii="Sylfaen" w:hAnsi="Sylfaen" w:cs="Sylfaen"/>
          <w:sz w:val="20"/>
          <w:szCs w:val="20"/>
          <w:lang w:val="ka-GE"/>
        </w:rPr>
      </w:pP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lastRenderedPageBreak/>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515298" w:rsidRPr="00657E8A"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515298"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31926991"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31926991"/>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538009643"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538009643"/>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FE519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B86BC0">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Default="00364492" w:rsidP="00B86BC0">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515298" w:rsidRDefault="00515298" w:rsidP="00515298">
      <w:pPr>
        <w:pStyle w:val="ListParagraph"/>
        <w:spacing w:afterLines="200" w:after="480" w:line="276" w:lineRule="auto"/>
        <w:ind w:left="630"/>
        <w:mirrorIndents/>
        <w:jc w:val="both"/>
        <w:rPr>
          <w:rFonts w:ascii="Sylfaen" w:hAnsi="Sylfaen" w:cs="Sylfaen"/>
          <w:sz w:val="20"/>
          <w:szCs w:val="20"/>
          <w:lang w:val="ka-GE"/>
        </w:rPr>
      </w:pPr>
    </w:p>
    <w:p w:rsidR="00D028A9" w:rsidRPr="00920FEF" w:rsidRDefault="00D028A9" w:rsidP="00515298">
      <w:pPr>
        <w:pStyle w:val="ListParagraph"/>
        <w:spacing w:afterLines="200" w:after="480" w:line="276" w:lineRule="auto"/>
        <w:ind w:left="630"/>
        <w:mirrorIndents/>
        <w:jc w:val="both"/>
        <w:rPr>
          <w:rFonts w:ascii="Sylfaen" w:hAnsi="Sylfaen" w:cs="Sylfaen"/>
          <w:sz w:val="20"/>
          <w:szCs w:val="20"/>
          <w:lang w:val="ka-GE"/>
        </w:rPr>
      </w:pPr>
    </w:p>
    <w:p w:rsidR="008D2CC3" w:rsidRDefault="00364492" w:rsidP="00D028A9">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515298">
      <w:pPr>
        <w:pStyle w:val="ListParagraph"/>
        <w:numPr>
          <w:ilvl w:val="2"/>
          <w:numId w:val="5"/>
        </w:numPr>
        <w:spacing w:afterLines="200" w:after="480" w:line="276" w:lineRule="auto"/>
        <w:ind w:left="0"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515298" w:rsidRDefault="00515298" w:rsidP="00515298">
      <w:pPr>
        <w:pStyle w:val="ListParagraph"/>
        <w:tabs>
          <w:tab w:val="left" w:pos="360"/>
        </w:tabs>
        <w:spacing w:afterLines="200" w:after="480" w:line="276" w:lineRule="auto"/>
        <w:ind w:left="0"/>
        <w:mirrorIndents/>
        <w:jc w:val="both"/>
        <w:rPr>
          <w:rFonts w:ascii="Sylfaen" w:hAnsi="Sylfaen" w:cs="Sylfaen"/>
          <w:sz w:val="20"/>
          <w:szCs w:val="20"/>
          <w:lang w:val="ka-GE"/>
        </w:rPr>
      </w:pPr>
    </w:p>
    <w:p w:rsidR="00141C4F" w:rsidRDefault="00141C4F" w:rsidP="00141C4F">
      <w:pPr>
        <w:pStyle w:val="ListParagraph"/>
        <w:tabs>
          <w:tab w:val="left" w:pos="360"/>
        </w:tabs>
        <w:spacing w:afterLines="200" w:after="480" w:line="276" w:lineRule="auto"/>
        <w:ind w:left="0"/>
        <w:mirrorIndents/>
        <w:jc w:val="both"/>
        <w:rPr>
          <w:rFonts w:ascii="Sylfaen" w:hAnsi="Sylfaen" w:cs="Sylfaen"/>
          <w:sz w:val="20"/>
          <w:szCs w:val="20"/>
          <w:lang w:val="ka-GE"/>
        </w:rPr>
      </w:pPr>
    </w:p>
    <w:p w:rsidR="00B86BC0" w:rsidRPr="00886AA7" w:rsidRDefault="00B86BC0" w:rsidP="00141C4F">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B86BC0" w:rsidRPr="00886AA7" w:rsidRDefault="00B86BC0"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370419320"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370419320"/>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F243BF" w:rsidRPr="00D51820">
          <w:rPr>
            <w:rStyle w:val="Hyperlink"/>
            <w:rFonts w:ascii="Sylfaen" w:hAnsi="Sylfaen" w:cs="Sylfaen"/>
            <w:sz w:val="20"/>
          </w:rPr>
          <w:t>med</w:t>
        </w:r>
        <w:r w:rsidR="00F243BF" w:rsidRPr="00D51820">
          <w:rPr>
            <w:rStyle w:val="Hyperlink"/>
            <w:rFonts w:ascii="Sylfaen" w:hAnsi="Sylfaen" w:cs="Sylfaen"/>
            <w:sz w:val="20"/>
            <w:lang w:val="ka-GE"/>
          </w:rPr>
          <w:t>2026</w:t>
        </w:r>
        <w:r w:rsidR="00F243BF" w:rsidRPr="00D51820">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2103060849" w:edGrp="everyone"/>
      <w:r w:rsidR="007E3ED7">
        <w:rPr>
          <w:rFonts w:ascii="Sylfaen" w:hAnsi="Sylfaen" w:cs="Sylfaen"/>
          <w:sz w:val="20"/>
          <w:szCs w:val="20"/>
          <w:lang w:val="ka-GE"/>
        </w:rPr>
        <w:t xml:space="preserve">      </w:t>
      </w:r>
    </w:p>
    <w:permEnd w:id="2103060849"/>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767196432" w:edGrp="everyone"/>
      <w:r w:rsidRPr="00886AA7">
        <w:rPr>
          <w:rFonts w:ascii="Sylfaen" w:hAnsi="Sylfaen" w:cs="Sylfaen"/>
          <w:sz w:val="20"/>
          <w:szCs w:val="20"/>
          <w:lang w:val="ka-GE"/>
        </w:rPr>
        <w:t>202</w:t>
      </w:r>
      <w:r w:rsidR="00F243BF">
        <w:rPr>
          <w:rFonts w:ascii="Sylfaen" w:hAnsi="Sylfaen" w:cs="Sylfaen"/>
          <w:sz w:val="20"/>
          <w:szCs w:val="20"/>
          <w:lang w:val="ka-GE"/>
        </w:rPr>
        <w:t>6</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767196432"/>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B86BC0">
        <w:trPr>
          <w:trHeight w:val="378"/>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278944273" w:edGrp="everyone"/>
            <w:r w:rsidRPr="00886AA7">
              <w:rPr>
                <w:rFonts w:ascii="Sylfaen" w:hAnsi="Sylfaen"/>
                <w:b/>
                <w:lang w:val="ka-GE"/>
              </w:rPr>
              <w:t xml:space="preserve">                            </w:t>
            </w:r>
          </w:p>
          <w:permEnd w:id="1278944273"/>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89668992" w:edGrp="everyone"/>
            <w:r w:rsidRPr="00886AA7">
              <w:rPr>
                <w:rFonts w:ascii="Sylfaen" w:hAnsi="Sylfaen" w:cs="Sylfaen"/>
                <w:lang w:val="ka-GE"/>
              </w:rPr>
              <w:t>____________</w:t>
            </w:r>
            <w:permEnd w:id="89668992"/>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498086298" w:edGrp="everyone"/>
            <w:r w:rsidRPr="00886AA7">
              <w:rPr>
                <w:rFonts w:ascii="Sylfaen" w:hAnsi="Sylfaen" w:cs="Sylfaen"/>
                <w:lang w:val="ka-GE"/>
              </w:rPr>
              <w:t>____________</w:t>
            </w:r>
            <w:permEnd w:id="498086298"/>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43981548" w:edGrp="everyone"/>
            <w:r w:rsidRPr="00886AA7">
              <w:rPr>
                <w:rFonts w:ascii="Sylfaen" w:hAnsi="Sylfaen" w:cs="Sylfaen"/>
                <w:lang w:val="ka-GE"/>
              </w:rPr>
              <w:t>____________</w:t>
            </w:r>
            <w:permEnd w:id="43981548"/>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181761461"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181761461"/>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964929634" w:edGrp="everyone"/>
            <w:r w:rsidRPr="00886AA7">
              <w:rPr>
                <w:rFonts w:ascii="Sylfaen" w:hAnsi="Sylfaen" w:cs="Sylfaen"/>
                <w:b/>
                <w:i/>
                <w:shd w:val="clear" w:color="auto" w:fill="FFFFFF"/>
                <w:lang w:val="ka-GE"/>
              </w:rPr>
              <w:t>წარმომადგენელი</w:t>
            </w:r>
          </w:p>
          <w:permEnd w:id="1964929634"/>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FC735B" w:rsidP="009C7D07">
            <w:pPr>
              <w:pBdr>
                <w:bottom w:val="single" w:sz="12" w:space="1" w:color="auto"/>
              </w:pBdr>
              <w:tabs>
                <w:tab w:val="left" w:pos="4770"/>
              </w:tabs>
              <w:ind w:left="306"/>
              <w:jc w:val="both"/>
              <w:rPr>
                <w:rFonts w:ascii="Sylfaen" w:hAnsi="Sylfaen"/>
                <w:b/>
                <w:lang w:val="ka-GE"/>
              </w:rPr>
            </w:pPr>
            <w:r>
              <w:rPr>
                <w:rFonts w:ascii="Sylfaen" w:hAnsi="Sylfaen"/>
                <w:b/>
                <w:lang w:val="ka-GE"/>
              </w:rPr>
              <w:t>შპს „პი.ემ.ჯი</w:t>
            </w:r>
            <w:r w:rsidR="00204D5D">
              <w:rPr>
                <w:rFonts w:ascii="Sylfaen" w:hAnsi="Sylfaen"/>
                <w:b/>
                <w:lang w:val="ka-GE"/>
              </w:rPr>
              <w:t>“</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r w:rsidR="00204D5D">
              <w:rPr>
                <w:rFonts w:ascii="Sylfaen" w:hAnsi="Sylfaen" w:cs="Sylfaen"/>
                <w:lang w:val="ka-GE"/>
              </w:rPr>
              <w:t xml:space="preserve">: </w:t>
            </w:r>
            <w:r w:rsidR="00FC735B" w:rsidRPr="00FC735B">
              <w:rPr>
                <w:rFonts w:ascii="Sylfaen" w:hAnsi="Sylfaen" w:cs="Sylfaen"/>
              </w:rPr>
              <w:t>404863803</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21586682" w:edGrp="everyone"/>
            <w:r w:rsidRPr="00886AA7">
              <w:rPr>
                <w:rFonts w:ascii="Sylfaen" w:hAnsi="Sylfaen" w:cs="Sylfaen"/>
                <w:lang w:val="ka-GE"/>
              </w:rPr>
              <w:t>____________</w:t>
            </w:r>
            <w:permEnd w:id="121586682"/>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645091700" w:edGrp="everyone"/>
            <w:r w:rsidRPr="00886AA7">
              <w:rPr>
                <w:rFonts w:ascii="Sylfaen" w:hAnsi="Sylfaen" w:cs="Sylfaen"/>
                <w:lang w:val="ka-GE"/>
              </w:rPr>
              <w:t>____________</w:t>
            </w:r>
            <w:permEnd w:id="1645091700"/>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286932431"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286932431"/>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391332360" w:edGrp="everyone"/>
            <w:r w:rsidRPr="00886AA7">
              <w:rPr>
                <w:rFonts w:ascii="Sylfaen" w:hAnsi="Sylfaen" w:cs="Sylfaen"/>
                <w:b/>
                <w:i/>
                <w:shd w:val="clear" w:color="auto" w:fill="FFFFFF"/>
                <w:lang w:val="ka-GE"/>
              </w:rPr>
              <w:t>წარმომადგენელი</w:t>
            </w:r>
            <w:permEnd w:id="1391332360"/>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B86BC0">
          <w:footerReference w:type="default" r:id="rId9"/>
          <w:pgSz w:w="12240" w:h="15840"/>
          <w:pgMar w:top="1440" w:right="900" w:bottom="225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885803440"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885803440"/>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249672252" w:edGrp="everyone"/>
            <w:proofErr w:type="spellStart"/>
            <w:r w:rsidRPr="00886AA7">
              <w:rPr>
                <w:rFonts w:ascii="Sylfaen" w:hAnsi="Sylfaen"/>
                <w:lang w:val="ka-GE"/>
              </w:rPr>
              <w:t>ქ.თბილისი</w:t>
            </w:r>
            <w:permEnd w:id="1249672252"/>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397634573"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397634573"/>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w:t>
            </w:r>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ფასი</w:t>
            </w:r>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3A5A0E" w:rsidRPr="003F04CC" w:rsidTr="00BB0A26">
        <w:trPr>
          <w:trHeight w:val="2874"/>
        </w:trPr>
        <w:tc>
          <w:tcPr>
            <w:tcW w:w="270" w:type="dxa"/>
            <w:vAlign w:val="center"/>
          </w:tcPr>
          <w:p w:rsidR="003A5A0E" w:rsidRPr="003F04CC" w:rsidRDefault="003A5A0E" w:rsidP="003A5A0E">
            <w:pPr>
              <w:spacing w:after="0" w:line="276" w:lineRule="auto"/>
              <w:rPr>
                <w:rFonts w:ascii="Sylfaen" w:eastAsia="Times New Roman" w:hAnsi="Sylfaen" w:cs="Calibri"/>
                <w:sz w:val="20"/>
                <w:szCs w:val="20"/>
                <w:lang w:val="ka-GE"/>
              </w:rPr>
            </w:pPr>
            <w:permStart w:id="996942651" w:edGrp="everyone" w:colFirst="0" w:colLast="0"/>
            <w:permStart w:id="1682401205" w:edGrp="everyone" w:colFirst="1" w:colLast="1"/>
            <w:permStart w:id="784088072" w:edGrp="everyone" w:colFirst="2" w:colLast="2"/>
            <w:permStart w:id="1616581071" w:edGrp="everyone" w:colFirst="3" w:colLast="3"/>
            <w:permStart w:id="1398592" w:edGrp="everyone" w:colFirst="4" w:colLast="4"/>
            <w:permStart w:id="63265854" w:edGrp="everyone" w:colFirst="5" w:colLast="5"/>
            <w:permStart w:id="1423201197" w:edGrp="everyone" w:colFirst="6" w:colLast="6"/>
            <w:permStart w:id="862391697" w:edGrp="everyone" w:colFirst="7" w:colLast="7"/>
            <w:permStart w:id="324283851" w:edGrp="everyone" w:colFirst="8" w:colLast="8"/>
            <w:r w:rsidRPr="003F04CC">
              <w:rPr>
                <w:rFonts w:ascii="Sylfaen" w:eastAsia="Times New Roman" w:hAnsi="Sylfaen" w:cs="Calibri"/>
                <w:sz w:val="20"/>
                <w:szCs w:val="20"/>
                <w:lang w:val="ka-GE"/>
              </w:rPr>
              <w:t>1</w:t>
            </w:r>
          </w:p>
        </w:tc>
        <w:tc>
          <w:tcPr>
            <w:tcW w:w="1350" w:type="dxa"/>
            <w:shd w:val="clear" w:color="auto" w:fill="auto"/>
            <w:noWrap/>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4410" w:type="dxa"/>
            <w:vAlign w:val="center"/>
          </w:tcPr>
          <w:p w:rsidR="003A5A0E" w:rsidRPr="00E76606" w:rsidRDefault="003A5A0E" w:rsidP="003A5A0E">
            <w:pPr>
              <w:rPr>
                <w:rFonts w:ascii="Sylfaen" w:eastAsia="Times New Roman" w:hAnsi="Sylfaen" w:cs="Calibri"/>
                <w:sz w:val="20"/>
                <w:szCs w:val="20"/>
                <w:lang w:val="ka-GE"/>
              </w:rPr>
            </w:pPr>
          </w:p>
        </w:tc>
        <w:tc>
          <w:tcPr>
            <w:tcW w:w="1751" w:type="dxa"/>
            <w:vAlign w:val="center"/>
          </w:tcPr>
          <w:p w:rsidR="003A5A0E" w:rsidRPr="00D84E94" w:rsidRDefault="003A5A0E" w:rsidP="003A5A0E">
            <w:pPr>
              <w:spacing w:after="0" w:line="276" w:lineRule="auto"/>
              <w:rPr>
                <w:rFonts w:ascii="Sylfaen" w:eastAsia="Times New Roman" w:hAnsi="Sylfaen" w:cs="Calibri"/>
                <w:sz w:val="20"/>
                <w:szCs w:val="20"/>
              </w:rPr>
            </w:pPr>
          </w:p>
        </w:tc>
        <w:tc>
          <w:tcPr>
            <w:tcW w:w="1219" w:type="dxa"/>
            <w:shd w:val="clear" w:color="auto" w:fill="auto"/>
            <w:noWrap/>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3A5A0E" w:rsidRPr="002E491D" w:rsidRDefault="003A5A0E" w:rsidP="003A5A0E">
            <w:pPr>
              <w:spacing w:after="0" w:line="276" w:lineRule="auto"/>
              <w:rPr>
                <w:rFonts w:ascii="Sylfaen" w:eastAsia="Times New Roman" w:hAnsi="Sylfaen" w:cs="Calibri"/>
                <w:sz w:val="20"/>
                <w:szCs w:val="20"/>
              </w:rPr>
            </w:pPr>
          </w:p>
        </w:tc>
        <w:tc>
          <w:tcPr>
            <w:tcW w:w="1291" w:type="dxa"/>
            <w:shd w:val="clear" w:color="auto" w:fill="auto"/>
            <w:noWrap/>
            <w:vAlign w:val="center"/>
          </w:tcPr>
          <w:p w:rsidR="003A5A0E" w:rsidRPr="003F04CC" w:rsidRDefault="003A5A0E" w:rsidP="003A5A0E">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3A5A0E" w:rsidRPr="003F04CC" w:rsidRDefault="003A5A0E" w:rsidP="003A5A0E">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3A5A0E" w:rsidRPr="0044783E" w:rsidRDefault="003A5A0E" w:rsidP="003A5A0E">
            <w:pPr>
              <w:spacing w:after="0" w:line="276" w:lineRule="auto"/>
              <w:rPr>
                <w:rFonts w:ascii="Sylfaen" w:eastAsia="Times New Roman" w:hAnsi="Sylfaen" w:cs="Calibri"/>
                <w:sz w:val="20"/>
                <w:szCs w:val="20"/>
                <w:lang w:val="ka-GE"/>
              </w:rPr>
            </w:pPr>
          </w:p>
        </w:tc>
      </w:tr>
      <w:permEnd w:id="996942651"/>
      <w:permEnd w:id="1682401205"/>
      <w:permEnd w:id="784088072"/>
      <w:permEnd w:id="1616581071"/>
      <w:permEnd w:id="1398592"/>
      <w:permEnd w:id="63265854"/>
      <w:permEnd w:id="1423201197"/>
      <w:permEnd w:id="862391697"/>
      <w:permEnd w:id="324283851"/>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44511147" w:edGrp="everyone"/>
            <w:r w:rsidRPr="00886AA7">
              <w:rPr>
                <w:rFonts w:ascii="Sylfaen" w:hAnsi="Sylfaen"/>
                <w:b/>
                <w:lang w:val="ka-GE"/>
              </w:rPr>
              <w:t xml:space="preserve">                                                 </w:t>
            </w:r>
          </w:p>
          <w:permEnd w:id="44511147"/>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672085696" w:edGrp="everyone"/>
            <w:r w:rsidRPr="00886AA7">
              <w:rPr>
                <w:rFonts w:ascii="Sylfaen" w:hAnsi="Sylfaen" w:cs="Sylfaen"/>
                <w:lang w:val="ka-GE"/>
              </w:rPr>
              <w:t xml:space="preserve"> ____________</w:t>
            </w:r>
            <w:permEnd w:id="1672085696"/>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932473349" w:edGrp="everyone"/>
            <w:r w:rsidRPr="00886AA7">
              <w:rPr>
                <w:rFonts w:ascii="Sylfaen" w:hAnsi="Sylfaen" w:cs="Sylfaen"/>
                <w:b/>
                <w:i/>
                <w:shd w:val="clear" w:color="auto" w:fill="FFFFFF"/>
                <w:lang w:val="ka-GE"/>
              </w:rPr>
              <w:t>წარმომადგენელი</w:t>
            </w:r>
          </w:p>
          <w:permEnd w:id="1932473349"/>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D028A9" w:rsidP="00761288">
            <w:pPr>
              <w:pBdr>
                <w:bottom w:val="single" w:sz="12" w:space="1" w:color="auto"/>
              </w:pBdr>
              <w:tabs>
                <w:tab w:val="left" w:pos="4770"/>
              </w:tabs>
              <w:spacing w:line="276" w:lineRule="auto"/>
              <w:jc w:val="both"/>
              <w:rPr>
                <w:rFonts w:ascii="Sylfaen" w:hAnsi="Sylfaen"/>
                <w:b/>
                <w:lang w:val="ka-GE"/>
              </w:rPr>
            </w:pPr>
            <w:r>
              <w:rPr>
                <w:rFonts w:ascii="Sylfaen" w:hAnsi="Sylfaen"/>
                <w:b/>
                <w:lang w:val="ka-GE"/>
              </w:rPr>
              <w:t>შპს „პი.ემ.ჯი</w:t>
            </w:r>
            <w:r w:rsidR="0065621C">
              <w:rPr>
                <w:rFonts w:ascii="Sylfaen" w:hAnsi="Sylfaen"/>
                <w:b/>
                <w:lang w:val="ka-GE"/>
              </w:rPr>
              <w:t>“</w:t>
            </w:r>
          </w:p>
          <w:p w:rsidR="00FB40B1" w:rsidRPr="00D028A9"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r w:rsidR="0065621C">
              <w:rPr>
                <w:rFonts w:ascii="Sylfaen" w:hAnsi="Sylfaen" w:cs="Sylfaen"/>
                <w:lang w:val="ka-GE"/>
              </w:rPr>
              <w:t xml:space="preserve"> </w:t>
            </w:r>
            <w:r w:rsidR="00D028A9">
              <w:rPr>
                <w:rFonts w:ascii="Sylfaen" w:hAnsi="Sylfaen" w:cs="Sylfaen"/>
                <w:lang w:val="ka-GE"/>
              </w:rPr>
              <w:t>404863803</w:t>
            </w: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367151618" w:edGrp="everyone"/>
            <w:r w:rsidRPr="00886AA7">
              <w:rPr>
                <w:rFonts w:ascii="Sylfaen" w:hAnsi="Sylfaen" w:cs="Sylfaen"/>
                <w:b/>
                <w:i/>
                <w:shd w:val="clear" w:color="auto" w:fill="FFFFFF"/>
                <w:lang w:val="ka-GE"/>
              </w:rPr>
              <w:t>წარმომადგენელი</w:t>
            </w:r>
          </w:p>
          <w:permEnd w:id="1367151618"/>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607361641" w:edGrp="everyone"/>
      <w:r w:rsidR="000F3EB4">
        <w:rPr>
          <w:rFonts w:ascii="Sylfaen" w:hAnsi="Sylfaen"/>
          <w:b/>
          <w:bCs/>
          <w:sz w:val="20"/>
          <w:szCs w:val="20"/>
        </w:rPr>
        <w:t>N</w:t>
      </w:r>
      <w:r w:rsidRPr="00886AA7">
        <w:rPr>
          <w:rFonts w:ascii="Sylfaen" w:hAnsi="Sylfaen"/>
          <w:b/>
          <w:bCs/>
          <w:sz w:val="20"/>
          <w:szCs w:val="20"/>
          <w:lang w:val="ka-GE"/>
        </w:rPr>
        <w:t xml:space="preserve"> ----- </w:t>
      </w:r>
      <w:permEnd w:id="1607361641"/>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2078353176" w:edGrp="everyone"/>
            <w:r w:rsidRPr="00886AA7">
              <w:rPr>
                <w:rFonts w:ascii="Sylfaen" w:hAnsi="Sylfaen"/>
                <w:lang w:val="ka-GE"/>
              </w:rPr>
              <w:t>ქ. თბილისი</w:t>
            </w:r>
            <w:permEnd w:id="2078353176"/>
          </w:p>
        </w:tc>
        <w:tc>
          <w:tcPr>
            <w:tcW w:w="5251" w:type="dxa"/>
          </w:tcPr>
          <w:p w:rsidR="00FE4A11" w:rsidRPr="00886AA7" w:rsidRDefault="00FE4A11" w:rsidP="00342344">
            <w:pPr>
              <w:spacing w:line="276" w:lineRule="auto"/>
              <w:ind w:firstLine="3611"/>
              <w:jc w:val="both"/>
              <w:rPr>
                <w:rFonts w:ascii="Sylfaen" w:hAnsi="Sylfaen"/>
                <w:lang w:val="ka-GE"/>
              </w:rPr>
            </w:pPr>
            <w:permStart w:id="2034971547"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2034971547"/>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333138187" w:edGrp="everyone" w:colFirst="0" w:colLast="0"/>
            <w:permStart w:id="1188109395" w:edGrp="everyone" w:colFirst="1" w:colLast="1"/>
            <w:permStart w:id="1939604122"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333138187"/>
      <w:permEnd w:id="1188109395"/>
      <w:permEnd w:id="1939604122"/>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ermStart w:id="2122349769" w:edGrp="everyone"/>
      <w:permEnd w:id="2122349769"/>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129546424" w:edGrp="everyone"/>
            <w:r w:rsidRPr="00886AA7">
              <w:rPr>
                <w:rFonts w:ascii="Sylfaen" w:hAnsi="Sylfaen"/>
                <w:b/>
                <w:lang w:val="ka-GE"/>
              </w:rPr>
              <w:t xml:space="preserve">                                        </w:t>
            </w:r>
          </w:p>
          <w:permEnd w:id="2129546424"/>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252477314" w:edGrp="everyone"/>
            <w:r w:rsidRPr="00886AA7">
              <w:rPr>
                <w:rFonts w:ascii="Sylfaen" w:hAnsi="Sylfaen" w:cs="Sylfaen"/>
                <w:lang w:val="ka-GE"/>
              </w:rPr>
              <w:t>____________</w:t>
            </w:r>
            <w:permEnd w:id="1252477314"/>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93400403" w:edGrp="everyone"/>
            <w:r w:rsidRPr="00886AA7">
              <w:rPr>
                <w:rFonts w:ascii="Sylfaen" w:hAnsi="Sylfaen" w:cs="Sylfaen"/>
                <w:b/>
                <w:i/>
                <w:shd w:val="clear" w:color="auto" w:fill="FFFFFF"/>
                <w:lang w:val="ka-GE"/>
              </w:rPr>
              <w:t>წარმომადგენელი</w:t>
            </w:r>
          </w:p>
          <w:permEnd w:id="93400403"/>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 xml:space="preserve"> </w:t>
            </w:r>
            <w:r w:rsidR="0065621C">
              <w:rPr>
                <w:rFonts w:ascii="Sylfaen" w:hAnsi="Sylfaen"/>
                <w:b/>
                <w:lang w:val="ka-GE"/>
              </w:rPr>
              <w:t xml:space="preserve">შპს </w:t>
            </w:r>
            <w:r w:rsidR="00D028A9">
              <w:rPr>
                <w:rFonts w:ascii="Sylfaen" w:hAnsi="Sylfaen"/>
                <w:b/>
                <w:lang w:val="ka-GE"/>
              </w:rPr>
              <w:t>„პი.ემ.ჯი</w:t>
            </w:r>
            <w:r w:rsidR="0065621C">
              <w:rPr>
                <w:rFonts w:ascii="Sylfaen" w:hAnsi="Sylfaen"/>
                <w:b/>
                <w:lang w:val="ka-GE"/>
              </w:rPr>
              <w:t>“</w:t>
            </w:r>
          </w:p>
          <w:p w:rsidR="00FE4A11" w:rsidRPr="00D028A9" w:rsidRDefault="00FE4A11" w:rsidP="00342344">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r w:rsidR="0065621C">
              <w:rPr>
                <w:rFonts w:ascii="Sylfaen" w:hAnsi="Sylfaen" w:cs="Sylfaen"/>
                <w:lang w:val="ka-GE"/>
              </w:rPr>
              <w:t xml:space="preserve"> </w:t>
            </w:r>
            <w:r w:rsidR="00D028A9">
              <w:rPr>
                <w:rFonts w:ascii="Sylfaen" w:hAnsi="Sylfaen" w:cs="Sylfaen"/>
                <w:lang w:val="ka-GE"/>
              </w:rPr>
              <w:t>404863803</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336618212" w:edGrp="everyone"/>
            <w:r w:rsidRPr="00886AA7">
              <w:rPr>
                <w:rFonts w:ascii="Sylfaen" w:hAnsi="Sylfaen" w:cs="Sylfaen"/>
                <w:b/>
                <w:i/>
                <w:shd w:val="clear" w:color="auto" w:fill="FFFFFF"/>
                <w:lang w:val="ka-GE"/>
              </w:rPr>
              <w:t>წარმომადგენელი</w:t>
            </w:r>
          </w:p>
          <w:permEnd w:id="1336618212"/>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452" w:rsidRDefault="00167452">
      <w:pPr>
        <w:spacing w:after="0" w:line="240" w:lineRule="auto"/>
      </w:pPr>
      <w:r>
        <w:separator/>
      </w:r>
    </w:p>
  </w:endnote>
  <w:endnote w:type="continuationSeparator" w:id="0">
    <w:p w:rsidR="00167452" w:rsidRDefault="00167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712D90">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712D90">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452" w:rsidRDefault="00167452">
      <w:pPr>
        <w:spacing w:after="0" w:line="240" w:lineRule="auto"/>
      </w:pPr>
      <w:r>
        <w:separator/>
      </w:r>
    </w:p>
  </w:footnote>
  <w:footnote w:type="continuationSeparator" w:id="0">
    <w:p w:rsidR="00167452" w:rsidRDefault="00167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OuOJMcSD60m/6g/EAzhm9UoAC0+dR66irOOd0PAXs/WoNeifkkzOyUcQcohFkRHbcbbU0t7aNGtjJWJjpLmBig==" w:salt="d942FtN277PRBgb3bHPet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31120"/>
    <w:rsid w:val="00141C4F"/>
    <w:rsid w:val="00142478"/>
    <w:rsid w:val="001440F9"/>
    <w:rsid w:val="00167452"/>
    <w:rsid w:val="0017003C"/>
    <w:rsid w:val="001837B3"/>
    <w:rsid w:val="00184C2B"/>
    <w:rsid w:val="00190570"/>
    <w:rsid w:val="0019153C"/>
    <w:rsid w:val="00196252"/>
    <w:rsid w:val="00197A4D"/>
    <w:rsid w:val="001A0622"/>
    <w:rsid w:val="001B18B4"/>
    <w:rsid w:val="001B5035"/>
    <w:rsid w:val="001C01B5"/>
    <w:rsid w:val="001C25BD"/>
    <w:rsid w:val="001C4F98"/>
    <w:rsid w:val="001C7547"/>
    <w:rsid w:val="001C7B4C"/>
    <w:rsid w:val="001F0F96"/>
    <w:rsid w:val="001F18D2"/>
    <w:rsid w:val="002014FA"/>
    <w:rsid w:val="002033C8"/>
    <w:rsid w:val="00204D5D"/>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1696"/>
    <w:rsid w:val="0029591F"/>
    <w:rsid w:val="002965E0"/>
    <w:rsid w:val="002A73C2"/>
    <w:rsid w:val="002B09D1"/>
    <w:rsid w:val="002B63E7"/>
    <w:rsid w:val="002C02D3"/>
    <w:rsid w:val="002E3991"/>
    <w:rsid w:val="002E491D"/>
    <w:rsid w:val="002F4A01"/>
    <w:rsid w:val="00301AEA"/>
    <w:rsid w:val="003021F7"/>
    <w:rsid w:val="00314CB7"/>
    <w:rsid w:val="003416D9"/>
    <w:rsid w:val="00342344"/>
    <w:rsid w:val="003521B4"/>
    <w:rsid w:val="00364492"/>
    <w:rsid w:val="00374E23"/>
    <w:rsid w:val="00386738"/>
    <w:rsid w:val="003868BB"/>
    <w:rsid w:val="003947EB"/>
    <w:rsid w:val="003A2644"/>
    <w:rsid w:val="003A3A18"/>
    <w:rsid w:val="003A4CD1"/>
    <w:rsid w:val="003A5A0E"/>
    <w:rsid w:val="003B1BED"/>
    <w:rsid w:val="003B4DE3"/>
    <w:rsid w:val="003C1FA1"/>
    <w:rsid w:val="003D252D"/>
    <w:rsid w:val="003D4A1C"/>
    <w:rsid w:val="00405739"/>
    <w:rsid w:val="00420E7C"/>
    <w:rsid w:val="0042305E"/>
    <w:rsid w:val="004244E3"/>
    <w:rsid w:val="0043346D"/>
    <w:rsid w:val="00436037"/>
    <w:rsid w:val="004445C8"/>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819"/>
    <w:rsid w:val="004E116C"/>
    <w:rsid w:val="004F391D"/>
    <w:rsid w:val="004F61F2"/>
    <w:rsid w:val="0050354E"/>
    <w:rsid w:val="00511270"/>
    <w:rsid w:val="00515298"/>
    <w:rsid w:val="00532AC4"/>
    <w:rsid w:val="005406BE"/>
    <w:rsid w:val="00544403"/>
    <w:rsid w:val="005465BF"/>
    <w:rsid w:val="00571EA5"/>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621C"/>
    <w:rsid w:val="00657E8A"/>
    <w:rsid w:val="00686B4E"/>
    <w:rsid w:val="006956B0"/>
    <w:rsid w:val="006B0F9A"/>
    <w:rsid w:val="006C0C77"/>
    <w:rsid w:val="006C3F97"/>
    <w:rsid w:val="006C5003"/>
    <w:rsid w:val="006C59B1"/>
    <w:rsid w:val="006C6C5D"/>
    <w:rsid w:val="006C7568"/>
    <w:rsid w:val="006D51AA"/>
    <w:rsid w:val="006E32B1"/>
    <w:rsid w:val="006E5E7A"/>
    <w:rsid w:val="006E7FEC"/>
    <w:rsid w:val="006F26BE"/>
    <w:rsid w:val="006F6C6A"/>
    <w:rsid w:val="00703431"/>
    <w:rsid w:val="0070425F"/>
    <w:rsid w:val="00706900"/>
    <w:rsid w:val="00707975"/>
    <w:rsid w:val="00712D90"/>
    <w:rsid w:val="007258EA"/>
    <w:rsid w:val="00725B03"/>
    <w:rsid w:val="007327E1"/>
    <w:rsid w:val="00734183"/>
    <w:rsid w:val="00760B38"/>
    <w:rsid w:val="0077636A"/>
    <w:rsid w:val="007844B0"/>
    <w:rsid w:val="007846E8"/>
    <w:rsid w:val="00792ED6"/>
    <w:rsid w:val="007A726A"/>
    <w:rsid w:val="007B3E2C"/>
    <w:rsid w:val="007B4612"/>
    <w:rsid w:val="007D3AED"/>
    <w:rsid w:val="007D5BBA"/>
    <w:rsid w:val="007D5C6C"/>
    <w:rsid w:val="007E15D8"/>
    <w:rsid w:val="007E3ED7"/>
    <w:rsid w:val="007E65FF"/>
    <w:rsid w:val="007F5FB4"/>
    <w:rsid w:val="007F7A6B"/>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34D37"/>
    <w:rsid w:val="009435C3"/>
    <w:rsid w:val="0094422F"/>
    <w:rsid w:val="00947FDA"/>
    <w:rsid w:val="0095387F"/>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0150"/>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2A05"/>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86BC0"/>
    <w:rsid w:val="00B92295"/>
    <w:rsid w:val="00BA7BDE"/>
    <w:rsid w:val="00BB0A26"/>
    <w:rsid w:val="00BD44BF"/>
    <w:rsid w:val="00BD5843"/>
    <w:rsid w:val="00BD7DB2"/>
    <w:rsid w:val="00BE74A5"/>
    <w:rsid w:val="00BF0D7B"/>
    <w:rsid w:val="00C257BA"/>
    <w:rsid w:val="00C265FE"/>
    <w:rsid w:val="00C528FB"/>
    <w:rsid w:val="00C56EDE"/>
    <w:rsid w:val="00C63353"/>
    <w:rsid w:val="00C72161"/>
    <w:rsid w:val="00C84FB3"/>
    <w:rsid w:val="00C92F86"/>
    <w:rsid w:val="00CA0720"/>
    <w:rsid w:val="00CA11D3"/>
    <w:rsid w:val="00CA5D96"/>
    <w:rsid w:val="00CC12B4"/>
    <w:rsid w:val="00CC351E"/>
    <w:rsid w:val="00CD2275"/>
    <w:rsid w:val="00CD789F"/>
    <w:rsid w:val="00CE1B2F"/>
    <w:rsid w:val="00CE2649"/>
    <w:rsid w:val="00CF3E45"/>
    <w:rsid w:val="00D01B28"/>
    <w:rsid w:val="00D0287E"/>
    <w:rsid w:val="00D028A9"/>
    <w:rsid w:val="00D137A8"/>
    <w:rsid w:val="00D14529"/>
    <w:rsid w:val="00D16E05"/>
    <w:rsid w:val="00D20B60"/>
    <w:rsid w:val="00D357AB"/>
    <w:rsid w:val="00D4140C"/>
    <w:rsid w:val="00D43471"/>
    <w:rsid w:val="00D568BD"/>
    <w:rsid w:val="00D57C9B"/>
    <w:rsid w:val="00D725BB"/>
    <w:rsid w:val="00D821A3"/>
    <w:rsid w:val="00D82A64"/>
    <w:rsid w:val="00D84414"/>
    <w:rsid w:val="00D84E94"/>
    <w:rsid w:val="00DA1569"/>
    <w:rsid w:val="00DB52AA"/>
    <w:rsid w:val="00DC2781"/>
    <w:rsid w:val="00DC6F2C"/>
    <w:rsid w:val="00DF0007"/>
    <w:rsid w:val="00DF4301"/>
    <w:rsid w:val="00E00348"/>
    <w:rsid w:val="00E07DBF"/>
    <w:rsid w:val="00E13DE8"/>
    <w:rsid w:val="00E22077"/>
    <w:rsid w:val="00E24ED3"/>
    <w:rsid w:val="00E309FD"/>
    <w:rsid w:val="00E3676B"/>
    <w:rsid w:val="00E37BB4"/>
    <w:rsid w:val="00E422C5"/>
    <w:rsid w:val="00E51CE7"/>
    <w:rsid w:val="00E532F5"/>
    <w:rsid w:val="00E54932"/>
    <w:rsid w:val="00E62115"/>
    <w:rsid w:val="00E63384"/>
    <w:rsid w:val="00E6595E"/>
    <w:rsid w:val="00E74631"/>
    <w:rsid w:val="00E76606"/>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3BF"/>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C735B"/>
    <w:rsid w:val="00FD3931"/>
    <w:rsid w:val="00FD769C"/>
    <w:rsid w:val="00FE2272"/>
    <w:rsid w:val="00FE343A"/>
    <w:rsid w:val="00FE4A11"/>
    <w:rsid w:val="00FE5196"/>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4DEE"/>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2E15E-3274-44FB-89AE-B37A37F4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2965</Words>
  <Characters>16904</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54</cp:revision>
  <cp:lastPrinted>2025-10-23T08:51:00Z</cp:lastPrinted>
  <dcterms:created xsi:type="dcterms:W3CDTF">2022-10-20T12:34:00Z</dcterms:created>
  <dcterms:modified xsi:type="dcterms:W3CDTF">2025-12-11T13:59:00Z</dcterms:modified>
</cp:coreProperties>
</file>