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64" w:rsidRPr="00803155" w:rsidRDefault="00CB1364" w:rsidP="00CB1364">
      <w:pPr>
        <w:jc w:val="center"/>
        <w:rPr>
          <w:rFonts w:asciiTheme="minorHAnsi" w:hAnsiTheme="minorHAnsi"/>
          <w:b/>
          <w:lang w:val="ka-GE"/>
        </w:rPr>
      </w:pPr>
      <w:r w:rsidRPr="00803155">
        <w:rPr>
          <w:rFonts w:asciiTheme="minorHAnsi" w:hAnsiTheme="minorHAnsi"/>
          <w:b/>
          <w:lang w:val="ka-GE"/>
        </w:rPr>
        <w:t xml:space="preserve">მოწვევა სატენდერო წინადადებების წარმოდგენაზე </w:t>
      </w:r>
    </w:p>
    <w:p w:rsidR="00CB1364" w:rsidRPr="00803155" w:rsidRDefault="00CB1364" w:rsidP="00CB1364">
      <w:pPr>
        <w:rPr>
          <w:rFonts w:asciiTheme="minorHAnsi" w:hAnsiTheme="minorHAnsi"/>
          <w:lang w:val="ka-GE"/>
        </w:rPr>
      </w:pPr>
      <w:r w:rsidRPr="00803155">
        <w:rPr>
          <w:rFonts w:asciiTheme="minorHAnsi" w:hAnsiTheme="minorHAnsi"/>
          <w:lang w:val="ka-GE"/>
        </w:rPr>
        <w:t xml:space="preserve">თარიღი: </w:t>
      </w:r>
      <w:r w:rsidRPr="00803155">
        <w:rPr>
          <w:rFonts w:asciiTheme="minorHAnsi" w:hAnsiTheme="minorHAnsi"/>
          <w:b/>
          <w:lang w:val="ka-GE"/>
        </w:rPr>
        <w:t>2022 წლის 21 იანვარი</w:t>
      </w:r>
      <w:r w:rsidRPr="00803155">
        <w:rPr>
          <w:rFonts w:asciiTheme="minorHAnsi" w:hAnsiTheme="minorHAnsi"/>
          <w:lang w:val="ka-GE"/>
        </w:rPr>
        <w:t xml:space="preserve"> </w:t>
      </w:r>
    </w:p>
    <w:p w:rsidR="00CB1364" w:rsidRPr="00803155" w:rsidRDefault="00CB1364" w:rsidP="00CB1364">
      <w:pPr>
        <w:rPr>
          <w:rFonts w:asciiTheme="minorHAnsi" w:hAnsiTheme="minorHAnsi"/>
          <w:b/>
          <w:lang w:val="ka-GE"/>
        </w:rPr>
      </w:pPr>
      <w:r w:rsidRPr="00803155">
        <w:rPr>
          <w:rFonts w:asciiTheme="minorHAnsi" w:hAnsiTheme="minorHAnsi"/>
          <w:lang w:val="ka-GE"/>
        </w:rPr>
        <w:t xml:space="preserve">სესხის/გრანტის № და დასახელება: </w:t>
      </w:r>
      <w:r w:rsidRPr="00803155">
        <w:rPr>
          <w:rFonts w:asciiTheme="minorHAnsi" w:hAnsiTheme="minorHAnsi"/>
          <w:b/>
          <w:lang w:val="ka-GE"/>
        </w:rPr>
        <w:t>3291-GEO - ურბანული მომსახურებების გაუმჯობესების საინვესტიციო პროგრამა - ტრანში 5</w:t>
      </w:r>
    </w:p>
    <w:p w:rsidR="00CB1364" w:rsidRPr="00803155" w:rsidRDefault="00CB1364" w:rsidP="00CB1364">
      <w:pPr>
        <w:rPr>
          <w:rFonts w:asciiTheme="minorHAnsi" w:hAnsiTheme="minorHAnsi"/>
          <w:b/>
          <w:lang w:val="ka-GE"/>
        </w:rPr>
      </w:pPr>
      <w:r w:rsidRPr="00803155">
        <w:rPr>
          <w:rFonts w:asciiTheme="minorHAnsi" w:hAnsiTheme="minorHAnsi"/>
          <w:lang w:val="ka-GE"/>
        </w:rPr>
        <w:t xml:space="preserve">კონტრაქტის № და დასახელება: </w:t>
      </w:r>
      <w:r w:rsidRPr="00803155">
        <w:rPr>
          <w:rFonts w:asciiTheme="minorHAnsi" w:hAnsiTheme="minorHAnsi"/>
          <w:b/>
          <w:lang w:val="ka-GE"/>
        </w:rPr>
        <w:t>UWSCG-ICB-Machinery-2021.01 (4 ლოტი) - სპეციალური ტექნიკის შესყიდვა</w:t>
      </w:r>
    </w:p>
    <w:p w:rsidR="00CB1364" w:rsidRPr="00803155" w:rsidRDefault="00CB1364" w:rsidP="00CB1364">
      <w:pPr>
        <w:rPr>
          <w:rFonts w:asciiTheme="minorHAnsi" w:hAnsiTheme="minorHAnsi"/>
          <w:b/>
          <w:lang w:val="ka-GE"/>
        </w:rPr>
      </w:pPr>
      <w:r w:rsidRPr="00803155">
        <w:rPr>
          <w:rFonts w:asciiTheme="minorHAnsi" w:hAnsiTheme="minorHAnsi"/>
          <w:lang w:val="ka-GE"/>
        </w:rPr>
        <w:t xml:space="preserve">სატენდერო წინადადებების წარმოდგენის ბოლო ვადა: </w:t>
      </w:r>
      <w:r w:rsidRPr="00803155">
        <w:rPr>
          <w:rFonts w:asciiTheme="minorHAnsi" w:hAnsiTheme="minorHAnsi"/>
          <w:b/>
          <w:lang w:val="ka-GE"/>
        </w:rPr>
        <w:t>2022 წლის 7 მარტი, 15:00 (თბილისის დროით)</w:t>
      </w:r>
    </w:p>
    <w:p w:rsidR="00CB1364" w:rsidRDefault="00CB1364" w:rsidP="00CB1364">
      <w:pPr>
        <w:pStyle w:val="ListParagraph"/>
        <w:numPr>
          <w:ilvl w:val="0"/>
          <w:numId w:val="12"/>
        </w:numPr>
        <w:ind w:left="567" w:hanging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საქართველომ აზიის განვითარების ბანკისაგან მიიღო სესხი ურბანული მომსახურებების გაუმჯობესების საინვესტიციო პროგრამის მეხუთა ტრანშის დასაფინანსებლად; აღნიშნული სესხის ნაწილი მოხმარდება ზემოხსენებული კონტრაქტის დაფინანსებას. ტენდერი ღიაა აზიის განვითარების ბანკის ნებადართული ქვეყნების პრეტენდენტებისათვის. </w:t>
      </w:r>
    </w:p>
    <w:p w:rsidR="00CB1364" w:rsidRDefault="00CB1364" w:rsidP="00CB1364">
      <w:pPr>
        <w:pStyle w:val="ListParagraph"/>
        <w:numPr>
          <w:ilvl w:val="0"/>
          <w:numId w:val="12"/>
        </w:numPr>
        <w:ind w:left="567" w:hanging="567"/>
        <w:contextualSpacing w:val="0"/>
        <w:rPr>
          <w:rFonts w:asciiTheme="minorHAnsi" w:hAnsiTheme="minorHAnsi"/>
          <w:lang w:val="ka-GE"/>
        </w:rPr>
      </w:pPr>
      <w:r w:rsidRPr="00CB1364">
        <w:rPr>
          <w:rFonts w:asciiTheme="minorHAnsi" w:hAnsiTheme="minorHAnsi"/>
          <w:b/>
          <w:lang w:val="ka-GE"/>
        </w:rPr>
        <w:t>საქართველოს გაერთიანებული წყალმომარაგების კომპანია (UWSCG)</w:t>
      </w:r>
      <w:r w:rsidRPr="00CB1364">
        <w:rPr>
          <w:rFonts w:asciiTheme="minorHAnsi" w:hAnsiTheme="minorHAnsi"/>
          <w:lang w:val="ka-GE"/>
        </w:rPr>
        <w:t xml:space="preserve"> (შემსყიდველი) იწვევს დალუქულ სატენდერო წინადადებებს უფლებამოსილი პრეტენდენტებისაგან, სპეც. ტექნიკის შესყიდვაზე, როგორც ინდივიდუალური კონტრაქტის, ისე ლოტების ნებისმიერ კომბინაციაზე. კერძოდ, შემდეგი საქონლის შესყიდვაზე: </w:t>
      </w:r>
    </w:p>
    <w:tbl>
      <w:tblPr>
        <w:tblW w:w="934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60"/>
        <w:gridCol w:w="80"/>
        <w:gridCol w:w="100"/>
        <w:gridCol w:w="2279"/>
        <w:gridCol w:w="60"/>
        <w:gridCol w:w="80"/>
        <w:gridCol w:w="100"/>
        <w:gridCol w:w="2280"/>
        <w:gridCol w:w="60"/>
        <w:gridCol w:w="80"/>
        <w:gridCol w:w="100"/>
        <w:gridCol w:w="1380"/>
        <w:gridCol w:w="60"/>
        <w:gridCol w:w="80"/>
        <w:gridCol w:w="100"/>
        <w:gridCol w:w="1459"/>
      </w:tblGrid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03155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>კონტრაქტის No. : UWSCG-ICB-Machinery-2021/01 (4 ლოტი)</w:t>
            </w:r>
          </w:p>
        </w:tc>
      </w:tr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03155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 xml:space="preserve">დასახელება: სპეციალური ტექნიკის შესყიდვა </w:t>
            </w:r>
          </w:p>
        </w:tc>
      </w:tr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>ლოტი No. : 1</w:t>
            </w:r>
          </w:p>
        </w:tc>
      </w:tr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 xml:space="preserve">ლოტის დასახელება : ექსკავატორ-დამტვირთველის შესყიდვა </w:t>
            </w:r>
          </w:p>
        </w:tc>
      </w:tr>
      <w:tr w:rsidR="00CB1364" w:rsidRPr="0024630B" w:rsidTr="00890E4E">
        <w:trPr>
          <w:cantSplit/>
        </w:trPr>
        <w:tc>
          <w:tcPr>
            <w:tcW w:w="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No.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საქონლის ან დაკავშირებული მომსახურებების დასახელება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აღწერა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ერთეული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რაოდენობა</w:t>
            </w:r>
          </w:p>
        </w:tc>
      </w:tr>
      <w:tr w:rsidR="00CB1364" w:rsidRPr="0024630B" w:rsidTr="00890E4E">
        <w:trPr>
          <w:cantSplit/>
        </w:trPr>
        <w:tc>
          <w:tcPr>
            <w:tcW w:w="982" w:type="dxa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19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ექსკავატორ-დამტვირთველი</w:t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nil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ერთეული</w:t>
            </w:r>
          </w:p>
        </w:tc>
        <w:tc>
          <w:tcPr>
            <w:tcW w:w="1699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23</w:t>
            </w:r>
          </w:p>
        </w:tc>
      </w:tr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>ლოტის No. : 2</w:t>
            </w:r>
          </w:p>
        </w:tc>
      </w:tr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 xml:space="preserve">ლოტის დასახელება : ასენიზაციის მანქანების შესყიდვა  </w:t>
            </w:r>
          </w:p>
        </w:tc>
      </w:tr>
      <w:tr w:rsidR="00CB1364" w:rsidRPr="0024630B" w:rsidTr="00890E4E">
        <w:trPr>
          <w:cantSplit/>
        </w:trPr>
        <w:tc>
          <w:tcPr>
            <w:tcW w:w="104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lastRenderedPageBreak/>
              <w:t>No.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საქონლის ან დაკავშირებული მომსახურებების დასახელება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აღწერა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ერთეული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რაოდენობა</w:t>
            </w:r>
          </w:p>
        </w:tc>
      </w:tr>
      <w:tr w:rsidR="00CB1364" w:rsidRPr="0024630B" w:rsidTr="00890E4E">
        <w:trPr>
          <w:cantSplit/>
        </w:trPr>
        <w:tc>
          <w:tcPr>
            <w:tcW w:w="1042" w:type="dxa"/>
            <w:gridSpan w:val="2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19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 xml:space="preserve">დიდი ასენიზაციის მანქანა </w:t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nil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ერთეული</w:t>
            </w:r>
          </w:p>
        </w:tc>
        <w:tc>
          <w:tcPr>
            <w:tcW w:w="1639" w:type="dxa"/>
            <w:gridSpan w:val="3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8</w:t>
            </w:r>
          </w:p>
        </w:tc>
      </w:tr>
      <w:tr w:rsidR="00CB1364" w:rsidRPr="0024630B" w:rsidTr="00890E4E">
        <w:trPr>
          <w:cantSplit/>
        </w:trPr>
        <w:tc>
          <w:tcPr>
            <w:tcW w:w="104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2</w:t>
            </w:r>
          </w:p>
        </w:tc>
        <w:tc>
          <w:tcPr>
            <w:tcW w:w="251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პატარა ასენიზაციის მანქანა</w:t>
            </w:r>
          </w:p>
        </w:tc>
        <w:tc>
          <w:tcPr>
            <w:tcW w:w="252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</w:p>
        </w:tc>
        <w:tc>
          <w:tcPr>
            <w:tcW w:w="1620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ერთეული</w:t>
            </w:r>
          </w:p>
        </w:tc>
        <w:tc>
          <w:tcPr>
            <w:tcW w:w="163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6</w:t>
            </w:r>
          </w:p>
        </w:tc>
      </w:tr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>ლოტის No. : ლოტი 3</w:t>
            </w:r>
          </w:p>
        </w:tc>
      </w:tr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 xml:space="preserve">ლოტის დასახელება : ჰიდრავლიკური ჩაქუჩის შესყიდვა  </w:t>
            </w:r>
          </w:p>
        </w:tc>
      </w:tr>
      <w:tr w:rsidR="00CB1364" w:rsidRPr="0024630B" w:rsidTr="00890E4E">
        <w:trPr>
          <w:cantSplit/>
        </w:trPr>
        <w:tc>
          <w:tcPr>
            <w:tcW w:w="112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No.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საქონლის ან დაკავშირებული მომსახურებების დასახელება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აღწერა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ერთეული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რაოდენობა</w:t>
            </w:r>
          </w:p>
        </w:tc>
      </w:tr>
      <w:tr w:rsidR="00CB1364" w:rsidRPr="0024630B" w:rsidTr="00890E4E">
        <w:trPr>
          <w:cantSplit/>
        </w:trPr>
        <w:tc>
          <w:tcPr>
            <w:tcW w:w="1122" w:type="dxa"/>
            <w:gridSpan w:val="3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19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 xml:space="preserve">ჰიდრავლიკური ჩაქუჩი </w:t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nil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ერთეული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6</w:t>
            </w:r>
          </w:p>
        </w:tc>
      </w:tr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>ლოტის No. : ლოტი 4</w:t>
            </w:r>
          </w:p>
        </w:tc>
      </w:tr>
      <w:tr w:rsidR="00CB1364" w:rsidRPr="0024630B" w:rsidTr="00890E4E">
        <w:trPr>
          <w:cantSplit/>
        </w:trPr>
        <w:tc>
          <w:tcPr>
            <w:tcW w:w="9340" w:type="dxa"/>
            <w:gridSpan w:val="1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rPr>
                <w:rFonts w:asciiTheme="minorHAnsi" w:hAnsiTheme="minorHAnsi"/>
                <w:b/>
                <w:lang w:val="ka-GE"/>
              </w:rPr>
            </w:pPr>
            <w:r w:rsidRPr="00803155">
              <w:rPr>
                <w:rFonts w:asciiTheme="minorHAnsi" w:hAnsiTheme="minorHAnsi"/>
                <w:b/>
                <w:lang w:val="ka-GE"/>
              </w:rPr>
              <w:t xml:space="preserve">ლოტის დასახელება: მულჩერის შესყიდვა  </w:t>
            </w:r>
          </w:p>
        </w:tc>
      </w:tr>
      <w:tr w:rsidR="00CB1364" w:rsidRPr="0024630B" w:rsidTr="00890E4E">
        <w:trPr>
          <w:cantSplit/>
        </w:trPr>
        <w:tc>
          <w:tcPr>
            <w:tcW w:w="122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No.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საქონლის ან დაკავშირებული მომსახურებების დასახელება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აღწერა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ერთეული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რაოდენობა</w:t>
            </w:r>
          </w:p>
        </w:tc>
      </w:tr>
      <w:tr w:rsidR="00CB1364" w:rsidRPr="0024630B" w:rsidTr="00890E4E">
        <w:trPr>
          <w:cantSplit/>
        </w:trPr>
        <w:tc>
          <w:tcPr>
            <w:tcW w:w="1222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2519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მულჩერი</w:t>
            </w:r>
          </w:p>
        </w:tc>
        <w:tc>
          <w:tcPr>
            <w:tcW w:w="2520" w:type="dxa"/>
            <w:gridSpan w:val="4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მოხსნადი მულჩერი</w:t>
            </w: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nil"/>
              <w:bottom w:val="dotted" w:sz="2" w:space="0" w:color="auto"/>
              <w:right w:val="nil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ერთეული</w:t>
            </w:r>
          </w:p>
        </w:tc>
        <w:tc>
          <w:tcPr>
            <w:tcW w:w="1459" w:type="dxa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B1364" w:rsidRPr="00803155" w:rsidRDefault="00CB1364" w:rsidP="00890E4E">
            <w:pPr>
              <w:suppressAutoHyphens/>
              <w:spacing w:before="40" w:after="40"/>
              <w:jc w:val="center"/>
              <w:rPr>
                <w:rFonts w:asciiTheme="minorHAnsi" w:hAnsiTheme="minorHAnsi"/>
                <w:lang w:val="ka-GE"/>
              </w:rPr>
            </w:pPr>
            <w:r w:rsidRPr="00803155">
              <w:rPr>
                <w:rFonts w:asciiTheme="minorHAnsi" w:hAnsiTheme="minorHAnsi"/>
                <w:lang w:val="ka-GE"/>
              </w:rPr>
              <w:t>1</w:t>
            </w:r>
          </w:p>
        </w:tc>
      </w:tr>
    </w:tbl>
    <w:p w:rsidR="00CB1364" w:rsidRDefault="00CB1364" w:rsidP="00CB1364">
      <w:pPr>
        <w:rPr>
          <w:rFonts w:asciiTheme="minorHAnsi" w:hAnsiTheme="minorHAnsi"/>
          <w:lang w:val="ka-GE"/>
        </w:rPr>
      </w:pPr>
    </w:p>
    <w:p w:rsidR="00CB1364" w:rsidRDefault="00CB1364" w:rsidP="00CB1364">
      <w:pPr>
        <w:pStyle w:val="ListParagraph"/>
        <w:numPr>
          <w:ilvl w:val="0"/>
          <w:numId w:val="12"/>
        </w:numPr>
        <w:ind w:left="567" w:hanging="567"/>
        <w:contextualSpacing w:val="0"/>
        <w:rPr>
          <w:rFonts w:asciiTheme="minorHAnsi" w:hAnsiTheme="minorHAnsi"/>
          <w:lang w:val="ka-GE"/>
        </w:rPr>
      </w:pPr>
      <w:r w:rsidRPr="00CB1364">
        <w:rPr>
          <w:rFonts w:asciiTheme="minorHAnsi" w:hAnsiTheme="minorHAnsi"/>
          <w:lang w:val="ka-GE"/>
        </w:rPr>
        <w:t>საერთაშორისო კონკურენტუნარიანი ტენდერი ჩატარდება აზიის განვითარების ბანკის შესყიდვების სახელმძღვანელო ინსტრუქციების შესაბამისად „ერთეტაპიანი: ერთკონვერტიანი“ ტენდერის ფარგლებში და ღიაა უფლებამოსილი ქვეყნების ყველა პრეტენდენტისათვის, როგორც სატენდერო დოკუმენტებშია აღწერილი.</w:t>
      </w:r>
    </w:p>
    <w:p w:rsidR="00CB1364" w:rsidRDefault="00CB1364" w:rsidP="00CB1364">
      <w:pPr>
        <w:pStyle w:val="ListParagraph"/>
        <w:numPr>
          <w:ilvl w:val="0"/>
          <w:numId w:val="12"/>
        </w:numPr>
        <w:ind w:left="567" w:hanging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მინიმალური საკვალიფიკაციო კრიტერიუმები </w:t>
      </w:r>
      <w:r w:rsidRPr="00550FC5">
        <w:rPr>
          <w:rFonts w:asciiTheme="minorHAnsi" w:hAnsiTheme="minorHAnsi"/>
          <w:b/>
          <w:bCs/>
          <w:lang w:val="ka-GE"/>
        </w:rPr>
        <w:t>მოიცავს არა მხოლოდ</w:t>
      </w:r>
      <w:r w:rsidRPr="00550FC5">
        <w:rPr>
          <w:rFonts w:asciiTheme="minorHAnsi" w:hAnsiTheme="minorHAnsi"/>
          <w:lang w:val="ka-GE"/>
        </w:rPr>
        <w:t xml:space="preserve"> </w:t>
      </w:r>
      <w:r>
        <w:rPr>
          <w:rFonts w:asciiTheme="minorHAnsi" w:hAnsiTheme="minorHAnsi"/>
          <w:lang w:val="ka-GE"/>
        </w:rPr>
        <w:t xml:space="preserve">შემდეგს: </w:t>
      </w:r>
    </w:p>
    <w:p w:rsidR="00CB1364" w:rsidRPr="008A3E18" w:rsidRDefault="00CB1364" w:rsidP="00CB1364">
      <w:pPr>
        <w:pStyle w:val="ListParagraph"/>
        <w:numPr>
          <w:ilvl w:val="0"/>
          <w:numId w:val="13"/>
        </w:numPr>
        <w:ind w:left="1281" w:hanging="35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u w:val="single"/>
          <w:lang w:val="ka-GE"/>
        </w:rPr>
        <w:t xml:space="preserve">საკონტრაქტო გამოცდილება: 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 xml:space="preserve">გასული 3 წლის </w:t>
      </w:r>
      <w:r>
        <w:rPr>
          <w:rFonts w:asciiTheme="minorHAnsi" w:hAnsiTheme="minorHAnsi"/>
          <w:lang w:val="ka-GE"/>
        </w:rPr>
        <w:t xml:space="preserve">განმავლობაში მთავარი მომწოდებლის სახით შემდეგი კონტრაქტების წარმატებით შესრულება: 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>ლოტი 1</w:t>
      </w:r>
      <w:r>
        <w:rPr>
          <w:rFonts w:asciiTheme="minorHAnsi" w:hAnsiTheme="minorHAnsi"/>
          <w:lang w:val="ka-GE"/>
        </w:rPr>
        <w:t>: 2 კონტრაქტი საერთო ღირებულებით 1,170,000.00 აშშ დოლარი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lastRenderedPageBreak/>
        <w:t>ლოტი 2</w:t>
      </w:r>
      <w:r w:rsidRPr="00356717">
        <w:rPr>
          <w:rFonts w:asciiTheme="minorHAnsi" w:hAnsiTheme="minorHAnsi"/>
          <w:lang w:val="ka-GE"/>
        </w:rPr>
        <w:t>:</w:t>
      </w:r>
      <w:r>
        <w:rPr>
          <w:rFonts w:asciiTheme="minorHAnsi" w:hAnsiTheme="minorHAnsi"/>
          <w:lang w:val="ka-GE"/>
        </w:rPr>
        <w:t xml:space="preserve"> 2 კონტრაქტი საერთო ღირებულებით 570,000.00 აშშ დოლარი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>ლოტი 3</w:t>
      </w:r>
      <w:r w:rsidRPr="00552C9A">
        <w:rPr>
          <w:rFonts w:asciiTheme="minorHAnsi" w:hAnsiTheme="minorHAnsi"/>
          <w:lang w:val="ka-GE"/>
        </w:rPr>
        <w:t>:</w:t>
      </w:r>
      <w:r>
        <w:rPr>
          <w:rFonts w:asciiTheme="minorHAnsi" w:hAnsiTheme="minorHAnsi"/>
          <w:lang w:val="ka-GE"/>
        </w:rPr>
        <w:t xml:space="preserve"> 2 კონტრაქტი საერთო ღირებულებით 15,000.00 აშშ დოლარი და 1 კონტრაქტი 10,000.00 აშშ დოლარი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>ლოტი 4</w:t>
      </w:r>
      <w:r w:rsidRPr="00552C9A">
        <w:rPr>
          <w:rFonts w:asciiTheme="minorHAnsi" w:hAnsiTheme="minorHAnsi"/>
          <w:lang w:val="ka-GE"/>
        </w:rPr>
        <w:t>:</w:t>
      </w:r>
      <w:r>
        <w:rPr>
          <w:rFonts w:asciiTheme="minorHAnsi" w:hAnsiTheme="minorHAnsi"/>
          <w:lang w:val="ka-GE"/>
        </w:rPr>
        <w:t xml:space="preserve"> 2 კონტრაქტი საერთო ღირებულებით 6,000.00 აშშ დოლარი და 1 კონტრაქტი 5,000 აშშ დოლარი 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იმავე ბუნებითა და მოწოდების სირთულით, რაც აღწერილია მე-6 სექციაში (მოწოდების გრაფიკი).</w:t>
      </w:r>
    </w:p>
    <w:p w:rsidR="00CB1364" w:rsidRPr="00552C9A" w:rsidRDefault="00CB1364" w:rsidP="00CB1364">
      <w:pPr>
        <w:pStyle w:val="ListParagraph"/>
        <w:numPr>
          <w:ilvl w:val="0"/>
          <w:numId w:val="13"/>
        </w:numPr>
        <w:ind w:left="1281" w:hanging="357"/>
        <w:contextualSpacing w:val="0"/>
        <w:rPr>
          <w:rFonts w:asciiTheme="minorHAnsi" w:hAnsiTheme="minorHAnsi"/>
          <w:b/>
          <w:bCs/>
          <w:u w:val="single"/>
          <w:lang w:val="ka-GE"/>
        </w:rPr>
      </w:pPr>
      <w:r w:rsidRPr="00552C9A">
        <w:rPr>
          <w:rFonts w:asciiTheme="minorHAnsi" w:hAnsiTheme="minorHAnsi"/>
          <w:b/>
          <w:bCs/>
          <w:u w:val="single"/>
          <w:lang w:val="ka-GE"/>
        </w:rPr>
        <w:t>ტექნიკური გამოცდილება: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პრეტენდენტმა უნდა აჩვენოს, რომ შემოთავაზებული საქონელი</w:t>
      </w:r>
    </w:p>
    <w:p w:rsidR="00CB1364" w:rsidRPr="00E57A45" w:rsidRDefault="00CB1364" w:rsidP="00CB1364">
      <w:pPr>
        <w:pStyle w:val="ListParagraph"/>
        <w:numPr>
          <w:ilvl w:val="0"/>
          <w:numId w:val="14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lang w:val="ka-GE"/>
        </w:rPr>
        <w:t xml:space="preserve">იყიდება სულ მცირე </w:t>
      </w:r>
      <w:r>
        <w:rPr>
          <w:rFonts w:asciiTheme="minorHAnsi" w:hAnsiTheme="minorHAnsi"/>
          <w:b/>
          <w:bCs/>
          <w:lang w:val="ka-GE"/>
        </w:rPr>
        <w:t>სამი წელია</w:t>
      </w:r>
      <w:r>
        <w:rPr>
          <w:rFonts w:asciiTheme="minorHAnsi" w:hAnsiTheme="minorHAnsi"/>
          <w:lang w:val="ka-GE"/>
        </w:rPr>
        <w:t xml:space="preserve">; </w:t>
      </w:r>
    </w:p>
    <w:p w:rsidR="00CB1364" w:rsidRPr="00E57A45" w:rsidRDefault="00CB1364" w:rsidP="00CB1364">
      <w:pPr>
        <w:pStyle w:val="ListParagraph"/>
        <w:numPr>
          <w:ilvl w:val="0"/>
          <w:numId w:val="14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lang w:val="ka-GE"/>
        </w:rPr>
        <w:t xml:space="preserve">პრეტენდენტს გაუყიდია მინიმუმ შემდეგი ოდენობით: </w:t>
      </w:r>
    </w:p>
    <w:p w:rsidR="00CB1364" w:rsidRDefault="00CB1364" w:rsidP="00CB1364">
      <w:pPr>
        <w:pStyle w:val="ListParagraph"/>
        <w:ind w:left="2001"/>
        <w:contextualSpacing w:val="0"/>
        <w:rPr>
          <w:rFonts w:asciiTheme="minorHAnsi" w:hAnsiTheme="minorHAnsi"/>
          <w:b/>
          <w:bCs/>
          <w:lang w:val="ka-GE"/>
        </w:rPr>
      </w:pPr>
      <w:r>
        <w:rPr>
          <w:rFonts w:asciiTheme="minorHAnsi" w:hAnsiTheme="minorHAnsi"/>
          <w:b/>
          <w:bCs/>
          <w:lang w:val="ka-GE"/>
        </w:rPr>
        <w:t>ლოტი 1: 23 ცალი</w:t>
      </w:r>
    </w:p>
    <w:p w:rsidR="00CB1364" w:rsidRDefault="00CB1364" w:rsidP="00CB1364">
      <w:pPr>
        <w:pStyle w:val="ListParagraph"/>
        <w:ind w:left="2001"/>
        <w:contextualSpacing w:val="0"/>
        <w:rPr>
          <w:rFonts w:asciiTheme="minorHAnsi" w:hAnsiTheme="minorHAnsi"/>
          <w:b/>
          <w:bCs/>
          <w:lang w:val="ka-GE"/>
        </w:rPr>
      </w:pPr>
      <w:r>
        <w:rPr>
          <w:rFonts w:asciiTheme="minorHAnsi" w:hAnsiTheme="minorHAnsi"/>
          <w:b/>
          <w:bCs/>
          <w:lang w:val="ka-GE"/>
        </w:rPr>
        <w:t xml:space="preserve">ლოტი 2: </w:t>
      </w:r>
    </w:p>
    <w:p w:rsidR="00CB1364" w:rsidRDefault="00CB1364" w:rsidP="00CB1364">
      <w:pPr>
        <w:pStyle w:val="ListParagraph"/>
        <w:numPr>
          <w:ilvl w:val="0"/>
          <w:numId w:val="16"/>
        </w:numPr>
        <w:contextualSpacing w:val="0"/>
        <w:rPr>
          <w:rFonts w:asciiTheme="minorHAnsi" w:hAnsiTheme="minorHAnsi"/>
          <w:b/>
          <w:bCs/>
          <w:lang w:val="ka-GE"/>
        </w:rPr>
      </w:pPr>
      <w:r>
        <w:rPr>
          <w:rFonts w:asciiTheme="minorHAnsi" w:hAnsiTheme="minorHAnsi"/>
          <w:b/>
          <w:bCs/>
          <w:lang w:val="ka-GE"/>
        </w:rPr>
        <w:t xml:space="preserve">დიდი ასენიზაციის მანქანა - 8 ცალი; </w:t>
      </w:r>
    </w:p>
    <w:p w:rsidR="00CB1364" w:rsidRDefault="00CB1364" w:rsidP="00CB1364">
      <w:pPr>
        <w:pStyle w:val="ListParagraph"/>
        <w:numPr>
          <w:ilvl w:val="0"/>
          <w:numId w:val="16"/>
        </w:numPr>
        <w:contextualSpacing w:val="0"/>
        <w:rPr>
          <w:rFonts w:asciiTheme="minorHAnsi" w:hAnsiTheme="minorHAnsi"/>
          <w:b/>
          <w:bCs/>
          <w:lang w:val="ka-GE"/>
        </w:rPr>
      </w:pPr>
      <w:r>
        <w:rPr>
          <w:rFonts w:asciiTheme="minorHAnsi" w:hAnsiTheme="minorHAnsi"/>
          <w:b/>
          <w:bCs/>
          <w:lang w:val="ka-GE"/>
        </w:rPr>
        <w:t>პატარა ასენიზაციის მანქანა - 6 ცალი;</w:t>
      </w:r>
    </w:p>
    <w:p w:rsidR="00CB1364" w:rsidRDefault="00CB1364" w:rsidP="00CB1364">
      <w:pPr>
        <w:pStyle w:val="ListParagraph"/>
        <w:ind w:left="2001"/>
        <w:contextualSpacing w:val="0"/>
        <w:rPr>
          <w:rFonts w:asciiTheme="minorHAnsi" w:hAnsiTheme="minorHAnsi"/>
          <w:b/>
          <w:bCs/>
          <w:lang w:val="ka-GE"/>
        </w:rPr>
      </w:pPr>
      <w:r>
        <w:rPr>
          <w:rFonts w:asciiTheme="minorHAnsi" w:hAnsiTheme="minorHAnsi"/>
          <w:b/>
          <w:bCs/>
          <w:lang w:val="ka-GE"/>
        </w:rPr>
        <w:t>ლოტი 3: 6 ცალი;</w:t>
      </w:r>
    </w:p>
    <w:p w:rsidR="00CB1364" w:rsidRDefault="00CB1364" w:rsidP="00CB1364">
      <w:pPr>
        <w:pStyle w:val="ListParagraph"/>
        <w:ind w:left="2001"/>
        <w:contextualSpacing w:val="0"/>
        <w:rPr>
          <w:rFonts w:asciiTheme="minorHAnsi" w:hAnsiTheme="minorHAnsi"/>
          <w:b/>
          <w:bCs/>
          <w:lang w:val="ka-GE"/>
        </w:rPr>
      </w:pPr>
      <w:r>
        <w:rPr>
          <w:rFonts w:asciiTheme="minorHAnsi" w:hAnsiTheme="minorHAnsi"/>
          <w:b/>
          <w:bCs/>
          <w:lang w:val="ka-GE"/>
        </w:rPr>
        <w:t xml:space="preserve">ლოტი 4: 1 ცალი </w:t>
      </w:r>
    </w:p>
    <w:p w:rsidR="00CB1364" w:rsidRPr="00E57A45" w:rsidRDefault="00CB1364" w:rsidP="00CB1364">
      <w:pPr>
        <w:pStyle w:val="ListParagraph"/>
        <w:ind w:left="2001"/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lang w:val="ka-GE"/>
        </w:rPr>
        <w:t xml:space="preserve">იგივე მოდელი გასული </w:t>
      </w:r>
      <w:r>
        <w:rPr>
          <w:rFonts w:asciiTheme="minorHAnsi" w:hAnsiTheme="minorHAnsi"/>
          <w:b/>
          <w:bCs/>
          <w:lang w:val="ka-GE"/>
        </w:rPr>
        <w:t xml:space="preserve">ერთი (1) წლის </w:t>
      </w:r>
      <w:r>
        <w:rPr>
          <w:rFonts w:asciiTheme="minorHAnsi" w:hAnsiTheme="minorHAnsi"/>
          <w:lang w:val="ka-GE"/>
        </w:rPr>
        <w:t xml:space="preserve">განმავლობაში; </w:t>
      </w:r>
    </w:p>
    <w:p w:rsidR="00CB1364" w:rsidRPr="00552C9A" w:rsidRDefault="00CB1364" w:rsidP="00CB1364">
      <w:pPr>
        <w:pStyle w:val="ListParagraph"/>
        <w:numPr>
          <w:ilvl w:val="0"/>
          <w:numId w:val="14"/>
        </w:numPr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lang w:val="ka-GE"/>
        </w:rPr>
        <w:t xml:space="preserve">ექსპლუატაციაშია მინიმუმ </w:t>
      </w:r>
      <w:r>
        <w:rPr>
          <w:rFonts w:asciiTheme="minorHAnsi" w:hAnsiTheme="minorHAnsi"/>
          <w:b/>
          <w:bCs/>
          <w:lang w:val="ka-GE"/>
        </w:rPr>
        <w:t>3 წელია</w:t>
      </w:r>
    </w:p>
    <w:p w:rsidR="00CB1364" w:rsidRDefault="00CB1364" w:rsidP="00CB1364">
      <w:pPr>
        <w:pStyle w:val="ListParagraph"/>
        <w:numPr>
          <w:ilvl w:val="0"/>
          <w:numId w:val="13"/>
        </w:numPr>
        <w:ind w:left="1281" w:hanging="357"/>
        <w:contextualSpacing w:val="0"/>
        <w:rPr>
          <w:rFonts w:asciiTheme="minorHAnsi" w:hAnsiTheme="minorHAnsi"/>
          <w:b/>
          <w:bCs/>
          <w:u w:val="single"/>
          <w:lang w:val="ka-GE"/>
        </w:rPr>
      </w:pPr>
      <w:r w:rsidRPr="00E57A45">
        <w:rPr>
          <w:rFonts w:asciiTheme="minorHAnsi" w:hAnsiTheme="minorHAnsi"/>
          <w:b/>
          <w:bCs/>
          <w:u w:val="single"/>
          <w:lang w:val="ka-GE"/>
        </w:rPr>
        <w:t xml:space="preserve">წარმოების მოცულობა: 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პრეტენდენტმა ან მწარმოებელმა უნდა უჩვენოს, რომ შეუძლია, შემსყიდველის მოთხოვნისამებრ, მოაწოდოს საქონელი იმავე ტიპის, ზომისა და რაოდენობის, მოწოდებისა და დასრულების გრაფიკის მიხედვით. </w:t>
      </w:r>
    </w:p>
    <w:p w:rsidR="00CB1364" w:rsidRPr="00766B59" w:rsidRDefault="00CB1364" w:rsidP="00CB1364">
      <w:pPr>
        <w:pStyle w:val="ListParagraph"/>
        <w:numPr>
          <w:ilvl w:val="0"/>
          <w:numId w:val="13"/>
        </w:numPr>
        <w:ind w:left="1281" w:hanging="357"/>
        <w:contextualSpacing w:val="0"/>
        <w:rPr>
          <w:rFonts w:asciiTheme="minorHAnsi" w:hAnsiTheme="minorHAnsi"/>
          <w:b/>
          <w:bCs/>
          <w:u w:val="single"/>
          <w:lang w:val="ka-GE"/>
        </w:rPr>
      </w:pPr>
      <w:r w:rsidRPr="00694DB6">
        <w:rPr>
          <w:rFonts w:asciiTheme="minorHAnsi" w:hAnsiTheme="minorHAnsi"/>
          <w:b/>
          <w:bCs/>
          <w:u w:val="single"/>
          <w:lang w:val="ka-GE"/>
        </w:rPr>
        <w:t xml:space="preserve">ისტორიული ფინანსური მაჩვენებელი: </w:t>
      </w:r>
      <w:r>
        <w:rPr>
          <w:rFonts w:asciiTheme="minorHAnsi" w:hAnsiTheme="minorHAnsi"/>
          <w:lang w:val="ka-GE"/>
        </w:rPr>
        <w:t xml:space="preserve">აუდიტირებული ფინანსური ანგარიშების წარმოდგენა ან, თუ პრეტენდენტის ქვეყნის სამართალი არ ითხოვს, შემსყიდველისათვის მისაღები ფინანსური ანგარიშების წარმოდგენა გასული </w:t>
      </w:r>
      <w:r>
        <w:rPr>
          <w:rFonts w:asciiTheme="minorHAnsi" w:hAnsiTheme="minorHAnsi"/>
          <w:b/>
          <w:bCs/>
          <w:lang w:val="ka-GE"/>
        </w:rPr>
        <w:t>სამი (3) წლის</w:t>
      </w:r>
      <w:r>
        <w:rPr>
          <w:rStyle w:val="FootnoteReference"/>
          <w:rFonts w:asciiTheme="minorHAnsi" w:hAnsiTheme="minorHAnsi"/>
          <w:b/>
          <w:bCs/>
          <w:lang w:val="ka-GE"/>
        </w:rPr>
        <w:footnoteReference w:id="1"/>
      </w:r>
      <w:r>
        <w:rPr>
          <w:rFonts w:asciiTheme="minorHAnsi" w:hAnsiTheme="minorHAnsi"/>
          <w:b/>
          <w:bCs/>
          <w:lang w:val="ka-GE"/>
        </w:rPr>
        <w:t xml:space="preserve"> </w:t>
      </w:r>
      <w:r>
        <w:rPr>
          <w:rFonts w:asciiTheme="minorHAnsi" w:hAnsiTheme="minorHAnsi"/>
          <w:lang w:val="ka-GE"/>
        </w:rPr>
        <w:t xml:space="preserve">განმავლობაში, რათა უჩვენოს პრეტენდენტის არსებული ფინანსური მდგომარეობა. როგორც მინიმუმ, პრეტენდენტის წმინდა ღირებულება გასული </w:t>
      </w:r>
      <w:r>
        <w:rPr>
          <w:rFonts w:asciiTheme="minorHAnsi" w:hAnsiTheme="minorHAnsi"/>
          <w:lang w:val="ka-GE"/>
        </w:rPr>
        <w:lastRenderedPageBreak/>
        <w:t xml:space="preserve">წლისათვის გამოითვლება საერთო აქტივებსა და საერთო ვალდებულებებს შორის დადებითი სხვაობით. </w:t>
      </w:r>
    </w:p>
    <w:p w:rsidR="00CB1364" w:rsidRDefault="00CB1364" w:rsidP="00CB1364">
      <w:pPr>
        <w:pStyle w:val="ListParagraph"/>
        <w:numPr>
          <w:ilvl w:val="0"/>
          <w:numId w:val="13"/>
        </w:numPr>
        <w:ind w:left="1281" w:hanging="357"/>
        <w:contextualSpacing w:val="0"/>
        <w:rPr>
          <w:rFonts w:asciiTheme="minorHAnsi" w:hAnsiTheme="minorHAnsi"/>
          <w:b/>
          <w:bCs/>
          <w:u w:val="single"/>
          <w:lang w:val="ka-GE"/>
        </w:rPr>
      </w:pPr>
      <w:r>
        <w:rPr>
          <w:rFonts w:asciiTheme="minorHAnsi" w:hAnsiTheme="minorHAnsi"/>
          <w:b/>
          <w:bCs/>
          <w:u w:val="single"/>
          <w:lang w:val="ka-GE"/>
        </w:rPr>
        <w:t xml:space="preserve">საშუალო წლიური ბრუნვა: 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მინიმალური საშუალო წლიური ბრუნვა გამოითვლება გასული </w:t>
      </w:r>
      <w:r>
        <w:rPr>
          <w:rFonts w:asciiTheme="minorHAnsi" w:hAnsiTheme="minorHAnsi"/>
          <w:b/>
          <w:bCs/>
          <w:lang w:val="ka-GE"/>
        </w:rPr>
        <w:t xml:space="preserve">სამი წლის </w:t>
      </w:r>
      <w:r>
        <w:rPr>
          <w:rFonts w:asciiTheme="minorHAnsi" w:hAnsiTheme="minorHAnsi"/>
          <w:lang w:val="ka-GE"/>
        </w:rPr>
        <w:t xml:space="preserve">განმავლობაში დასრულებული ან მიმდინარე კონტრაქტებისათვის პრეტენდენტის მიერ მიღებული გადახდები. </w:t>
      </w:r>
    </w:p>
    <w:p w:rsidR="00CB1364" w:rsidRDefault="00CB1364" w:rsidP="00CB1364">
      <w:pPr>
        <w:pStyle w:val="ListParagraph"/>
        <w:ind w:left="1281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საჭირო საშუალო წლიური ბრუნვა თითოეული ლოტისათვის: </w:t>
      </w:r>
    </w:p>
    <w:p w:rsidR="00CB1364" w:rsidRPr="00EB407E" w:rsidRDefault="00CB1364" w:rsidP="00CB1364">
      <w:pPr>
        <w:pStyle w:val="ListParagraph"/>
        <w:numPr>
          <w:ilvl w:val="0"/>
          <w:numId w:val="17"/>
        </w:numPr>
        <w:ind w:left="1620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>ლოტი 1: 2,193,000.00 აშშ დოლარი</w:t>
      </w:r>
    </w:p>
    <w:p w:rsidR="00CB1364" w:rsidRPr="00EB407E" w:rsidRDefault="00CB1364" w:rsidP="00CB1364">
      <w:pPr>
        <w:pStyle w:val="ListParagraph"/>
        <w:numPr>
          <w:ilvl w:val="0"/>
          <w:numId w:val="17"/>
        </w:numPr>
        <w:ind w:left="1620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>ლოტი 2: 1,082,000.00 აშშ დოლარი</w:t>
      </w:r>
    </w:p>
    <w:p w:rsidR="00CB1364" w:rsidRPr="00EB407E" w:rsidRDefault="00CB1364" w:rsidP="00CB1364">
      <w:pPr>
        <w:pStyle w:val="ListParagraph"/>
        <w:numPr>
          <w:ilvl w:val="0"/>
          <w:numId w:val="17"/>
        </w:numPr>
        <w:ind w:left="1620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>ლოტი 3: 26,000.00 აშშ დოლარი</w:t>
      </w:r>
    </w:p>
    <w:p w:rsidR="00CB1364" w:rsidRPr="00CB1364" w:rsidRDefault="00CB1364" w:rsidP="00CB1364">
      <w:pPr>
        <w:pStyle w:val="ListParagraph"/>
        <w:numPr>
          <w:ilvl w:val="0"/>
          <w:numId w:val="17"/>
        </w:numPr>
        <w:ind w:left="1620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>ლოტი 4: 12,000.00 აშშ დოლარი</w:t>
      </w:r>
    </w:p>
    <w:p w:rsidR="00CB1364" w:rsidRPr="00CB1364" w:rsidRDefault="00CB1364" w:rsidP="00CB1364">
      <w:pPr>
        <w:rPr>
          <w:rFonts w:asciiTheme="minorHAnsi" w:hAnsiTheme="minorHAnsi"/>
          <w:i/>
          <w:lang w:val="ka-GE"/>
        </w:rPr>
      </w:pPr>
      <w:r w:rsidRPr="00CB1364">
        <w:rPr>
          <w:rFonts w:asciiTheme="minorHAnsi" w:hAnsiTheme="minorHAnsi"/>
          <w:i/>
          <w:lang w:val="ka-GE"/>
        </w:rPr>
        <w:t>შენიშვნა: იმ შემთხვევაიო, თუ მონაწილე წარმოადგენს წინადადებას 2 ან მეტ ლოტზე, მოთხოვნები შეჯამდება შესაბამისად.</w:t>
      </w:r>
    </w:p>
    <w:p w:rsidR="00CB1364" w:rsidRDefault="00CB1364" w:rsidP="00CB1364">
      <w:pPr>
        <w:pStyle w:val="ListParagraph"/>
        <w:numPr>
          <w:ilvl w:val="0"/>
          <w:numId w:val="12"/>
        </w:numPr>
        <w:ind w:left="567" w:hanging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დამატებითი ინფორმაციის მიღებისა და სატენდერო დოკუმენტაციის შემოწმების მიზნით პრეტენდენტები უნდა დაუკავშირდნენ: </w:t>
      </w:r>
    </w:p>
    <w:p w:rsidR="00CB1364" w:rsidRDefault="00CB1364" w:rsidP="00CB1364">
      <w:pPr>
        <w:pStyle w:val="ListParagraph"/>
        <w:ind w:left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 xml:space="preserve">შპს „საქართველოს გაერთიანებული წყალმომარაგების კომპანია“ </w:t>
      </w:r>
    </w:p>
    <w:p w:rsidR="00CB1364" w:rsidRDefault="00CB1364" w:rsidP="00CB1364">
      <w:pPr>
        <w:pStyle w:val="ListParagraph"/>
        <w:ind w:left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ხატია ამილახვარი და/ან ეთერ ფირანიშვილი </w:t>
      </w:r>
    </w:p>
    <w:p w:rsidR="00CB1364" w:rsidRDefault="00CB1364" w:rsidP="00CB1364">
      <w:pPr>
        <w:pStyle w:val="ListParagraph"/>
        <w:ind w:left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მისამართი: ანა პოლიტკოვსკაიას 5/7, თბილისი </w:t>
      </w:r>
    </w:p>
    <w:p w:rsidR="00CB1364" w:rsidRDefault="00CB1364" w:rsidP="00CB1364">
      <w:pPr>
        <w:pStyle w:val="ListParagraph"/>
        <w:ind w:left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სართული: პირველი </w:t>
      </w:r>
    </w:p>
    <w:p w:rsidR="00CB1364" w:rsidRDefault="00CB1364" w:rsidP="00CB1364">
      <w:pPr>
        <w:pStyle w:val="ListParagraph"/>
        <w:ind w:left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ქალაქი: თბილისი </w:t>
      </w:r>
    </w:p>
    <w:p w:rsidR="00CB1364" w:rsidRDefault="00CB1364" w:rsidP="00CB1364">
      <w:pPr>
        <w:pStyle w:val="ListParagraph"/>
        <w:ind w:left="567"/>
        <w:contextualSpacing w:val="0"/>
        <w:rPr>
          <w:rFonts w:asciiTheme="minorHAnsi" w:hAnsiTheme="minorHAnsi"/>
          <w:lang w:val="ka-GE"/>
        </w:rPr>
      </w:pPr>
      <w:r w:rsidRPr="00DF2A3E">
        <w:rPr>
          <w:rFonts w:asciiTheme="minorHAnsi" w:hAnsiTheme="minorHAnsi"/>
          <w:lang w:val="ka-GE"/>
        </w:rPr>
        <w:t xml:space="preserve">ZIP </w:t>
      </w:r>
      <w:r>
        <w:rPr>
          <w:rFonts w:asciiTheme="minorHAnsi" w:hAnsiTheme="minorHAnsi"/>
          <w:lang w:val="ka-GE"/>
        </w:rPr>
        <w:t>კოდი: 0186</w:t>
      </w:r>
    </w:p>
    <w:p w:rsidR="00CB1364" w:rsidRDefault="00CB1364" w:rsidP="00CB1364">
      <w:pPr>
        <w:pStyle w:val="ListParagraph"/>
        <w:ind w:left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ქვეყანა: საქართველო</w:t>
      </w:r>
    </w:p>
    <w:p w:rsidR="00CB1364" w:rsidRDefault="00CB1364" w:rsidP="00CB1364">
      <w:pPr>
        <w:pStyle w:val="ListParagraph"/>
        <w:ind w:left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ტელეფონი: (995 32) 291 90 60</w:t>
      </w:r>
    </w:p>
    <w:p w:rsidR="00CB1364" w:rsidRDefault="00CB1364" w:rsidP="00CB1364">
      <w:pPr>
        <w:pStyle w:val="ListParagraph"/>
        <w:ind w:left="567"/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ფაქსიმილე: (995 32) 22 00 36</w:t>
      </w:r>
    </w:p>
    <w:p w:rsidR="00CB1364" w:rsidRDefault="00CB1364" w:rsidP="00274392">
      <w:pPr>
        <w:pStyle w:val="ListParagraph"/>
        <w:ind w:left="567"/>
        <w:contextualSpacing w:val="0"/>
        <w:jc w:val="left"/>
        <w:rPr>
          <w:rStyle w:val="Hyperlink"/>
          <w:rFonts w:ascii="Sylfaen" w:eastAsia="Arial" w:hAnsi="Sylfaen" w:cs="Arial"/>
          <w:sz w:val="20"/>
          <w:szCs w:val="20"/>
        </w:rPr>
      </w:pPr>
      <w:r>
        <w:rPr>
          <w:rFonts w:asciiTheme="minorHAnsi" w:hAnsiTheme="minorHAnsi"/>
          <w:lang w:val="ka-GE"/>
        </w:rPr>
        <w:t xml:space="preserve">ელ. მისამართი: </w:t>
      </w:r>
      <w:hyperlink r:id="rId7" w:history="1">
        <w:r w:rsidRPr="00DF2A3E">
          <w:rPr>
            <w:rStyle w:val="Hyperlink"/>
            <w:rFonts w:ascii="Sylfaen" w:eastAsia="Arial" w:hAnsi="Sylfaen" w:cs="Arial"/>
            <w:sz w:val="20"/>
            <w:szCs w:val="20"/>
            <w:lang w:val="ka-GE"/>
          </w:rPr>
          <w:t>info.procurement@water.gov.ge</w:t>
        </w:r>
      </w:hyperlink>
    </w:p>
    <w:p w:rsidR="00CB1364" w:rsidRPr="0024630B" w:rsidRDefault="00CB1364" w:rsidP="00274392">
      <w:pPr>
        <w:pStyle w:val="ListParagraph"/>
        <w:ind w:left="2160" w:right="27"/>
        <w:jc w:val="left"/>
        <w:rPr>
          <w:rFonts w:ascii="Sylfaen" w:eastAsia="Arial" w:hAnsi="Sylfaen" w:cs="Arial"/>
          <w:sz w:val="20"/>
          <w:szCs w:val="20"/>
        </w:rPr>
      </w:pPr>
      <w:r w:rsidRPr="0024630B">
        <w:rPr>
          <w:rFonts w:ascii="Sylfaen" w:eastAsia="Arial" w:hAnsi="Sylfaen" w:cs="Arial"/>
          <w:sz w:val="20"/>
          <w:szCs w:val="20"/>
        </w:rPr>
        <w:t xml:space="preserve">CC: </w:t>
      </w:r>
      <w:hyperlink r:id="rId8" w:history="1">
        <w:r w:rsidRPr="0024630B">
          <w:rPr>
            <w:rStyle w:val="Hyperlink"/>
            <w:rFonts w:ascii="Sylfaen" w:eastAsia="Arial" w:hAnsi="Sylfaen" w:cs="Arial"/>
            <w:sz w:val="20"/>
            <w:szCs w:val="20"/>
          </w:rPr>
          <w:t>kh.amilakhvari@water.gov.ge</w:t>
        </w:r>
      </w:hyperlink>
      <w:r w:rsidRPr="0024630B">
        <w:rPr>
          <w:rFonts w:ascii="Sylfaen" w:eastAsia="Arial" w:hAnsi="Sylfaen" w:cs="Arial"/>
          <w:sz w:val="20"/>
          <w:szCs w:val="20"/>
        </w:rPr>
        <w:t xml:space="preserve">; </w:t>
      </w:r>
      <w:hyperlink r:id="rId9" w:history="1">
        <w:r w:rsidRPr="0024630B">
          <w:rPr>
            <w:rStyle w:val="Hyperlink"/>
            <w:rFonts w:ascii="Sylfaen" w:eastAsia="Arial" w:hAnsi="Sylfaen" w:cs="Arial"/>
            <w:sz w:val="20"/>
            <w:szCs w:val="20"/>
          </w:rPr>
          <w:t>e.piranishvili@water.gov.ge</w:t>
        </w:r>
      </w:hyperlink>
      <w:r w:rsidRPr="0024630B">
        <w:rPr>
          <w:rFonts w:ascii="Sylfaen" w:eastAsia="Arial" w:hAnsi="Sylfaen" w:cs="Arial"/>
          <w:sz w:val="20"/>
          <w:szCs w:val="20"/>
        </w:rPr>
        <w:t xml:space="preserve"> </w:t>
      </w:r>
      <w:r>
        <w:rPr>
          <w:rFonts w:ascii="Sylfaen" w:eastAsia="Arial" w:hAnsi="Sylfaen" w:cs="Arial"/>
          <w:sz w:val="20"/>
          <w:szCs w:val="20"/>
        </w:rPr>
        <w:t xml:space="preserve">       </w:t>
      </w:r>
      <w:hyperlink r:id="rId10" w:history="1">
        <w:r w:rsidRPr="0024630B">
          <w:rPr>
            <w:rStyle w:val="Hyperlink"/>
            <w:rFonts w:ascii="Sylfaen" w:eastAsia="Arial" w:hAnsi="Sylfaen" w:cs="Arial"/>
            <w:sz w:val="20"/>
            <w:szCs w:val="20"/>
          </w:rPr>
          <w:t>i.mazanishvili@water.gov.ge</w:t>
        </w:r>
      </w:hyperlink>
      <w:r w:rsidRPr="0024630B">
        <w:rPr>
          <w:rFonts w:ascii="Sylfaen" w:eastAsia="Arial" w:hAnsi="Sylfaen" w:cs="Arial"/>
          <w:sz w:val="20"/>
          <w:szCs w:val="20"/>
        </w:rPr>
        <w:t xml:space="preserve">; </w:t>
      </w:r>
      <w:hyperlink r:id="rId11" w:history="1">
        <w:r w:rsidRPr="00FF08A5">
          <w:rPr>
            <w:rStyle w:val="Hyperlink"/>
            <w:rFonts w:ascii="Sylfaen" w:eastAsia="Arial" w:hAnsi="Sylfaen" w:cs="Arial"/>
            <w:sz w:val="20"/>
            <w:szCs w:val="20"/>
          </w:rPr>
          <w:t>m.gelashvili@water.gov.ge</w:t>
        </w:r>
      </w:hyperlink>
      <w:r w:rsidRPr="0024630B">
        <w:rPr>
          <w:rFonts w:ascii="Sylfaen" w:eastAsia="Arial" w:hAnsi="Sylfaen" w:cs="Arial"/>
          <w:sz w:val="20"/>
          <w:szCs w:val="20"/>
        </w:rPr>
        <w:t xml:space="preserve">  </w:t>
      </w:r>
    </w:p>
    <w:p w:rsidR="00C30CA0" w:rsidRDefault="00CB1364" w:rsidP="00DE72C5">
      <w:pPr>
        <w:pStyle w:val="ListParagraph"/>
        <w:numPr>
          <w:ilvl w:val="0"/>
          <w:numId w:val="12"/>
        </w:numPr>
        <w:contextualSpacing w:val="0"/>
        <w:rPr>
          <w:rFonts w:asciiTheme="minorHAnsi" w:hAnsiTheme="minorHAnsi"/>
          <w:lang w:val="ka-GE"/>
        </w:rPr>
      </w:pPr>
      <w:r w:rsidRPr="00CB1364">
        <w:rPr>
          <w:rFonts w:asciiTheme="minorHAnsi" w:hAnsiTheme="minorHAnsi"/>
          <w:lang w:val="ka-GE"/>
        </w:rPr>
        <w:t>სატენდერო დოკუმენტაცია გაიცემა ელექტრონული ფორმატით, მას შემდეგ, რაც</w:t>
      </w:r>
      <w:r w:rsidR="00C30CA0">
        <w:rPr>
          <w:rFonts w:asciiTheme="minorHAnsi" w:hAnsiTheme="minorHAnsi"/>
          <w:lang w:val="ka-GE"/>
        </w:rPr>
        <w:t xml:space="preserve"> მე-5</w:t>
      </w:r>
      <w:r w:rsidRPr="00CB1364">
        <w:rPr>
          <w:rFonts w:asciiTheme="minorHAnsi" w:hAnsiTheme="minorHAnsi"/>
          <w:lang w:val="ka-GE"/>
        </w:rPr>
        <w:t xml:space="preserve"> </w:t>
      </w:r>
      <w:bookmarkStart w:id="0" w:name="_GoBack"/>
      <w:bookmarkEnd w:id="0"/>
      <w:r w:rsidRPr="00CB1364">
        <w:rPr>
          <w:rFonts w:asciiTheme="minorHAnsi" w:hAnsiTheme="minorHAnsi"/>
          <w:lang w:val="ka-GE"/>
        </w:rPr>
        <w:t>პარაგრაფში</w:t>
      </w:r>
      <w:r>
        <w:rPr>
          <w:rFonts w:asciiTheme="minorHAnsi" w:hAnsiTheme="minorHAnsi"/>
          <w:lang w:val="ka-GE"/>
        </w:rPr>
        <w:t xml:space="preserve"> </w:t>
      </w:r>
      <w:r w:rsidRPr="00CB1364">
        <w:rPr>
          <w:rFonts w:asciiTheme="minorHAnsi" w:hAnsiTheme="minorHAnsi"/>
          <w:lang w:val="ka-GE"/>
        </w:rPr>
        <w:t xml:space="preserve">მითითებულ მისამართებზე შემოვა დოკუმენტაციის გაცემაზე წერილობითი მოთხოვნა. </w:t>
      </w:r>
    </w:p>
    <w:p w:rsidR="00CB1364" w:rsidRPr="00CB1364" w:rsidRDefault="00CB1364" w:rsidP="00DE72C5">
      <w:pPr>
        <w:pStyle w:val="ListParagraph"/>
        <w:numPr>
          <w:ilvl w:val="0"/>
          <w:numId w:val="12"/>
        </w:numPr>
        <w:contextualSpacing w:val="0"/>
        <w:rPr>
          <w:rFonts w:asciiTheme="minorHAnsi" w:hAnsiTheme="minorHAnsi"/>
          <w:lang w:val="ka-GE"/>
        </w:rPr>
      </w:pPr>
      <w:r w:rsidRPr="00CB1364">
        <w:rPr>
          <w:rFonts w:asciiTheme="minorHAnsi" w:hAnsiTheme="minorHAnsi"/>
          <w:lang w:val="ka-GE"/>
        </w:rPr>
        <w:lastRenderedPageBreak/>
        <w:t xml:space="preserve">სატენდერო წინადადება </w:t>
      </w:r>
      <w:r w:rsidR="00C30CA0">
        <w:rPr>
          <w:rFonts w:asciiTheme="minorHAnsi" w:hAnsiTheme="minorHAnsi"/>
          <w:lang w:val="ka-GE"/>
        </w:rPr>
        <w:t>უნდა წარმოადგინოთ:</w:t>
      </w:r>
      <w:r w:rsidRPr="00CB1364">
        <w:rPr>
          <w:rFonts w:asciiTheme="minorHAnsi" w:hAnsiTheme="minorHAnsi"/>
          <w:lang w:val="ka-GE"/>
        </w:rPr>
        <w:t xml:space="preserve"> </w:t>
      </w:r>
    </w:p>
    <w:p w:rsidR="00CB1364" w:rsidRDefault="00CB1364" w:rsidP="00CB1364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ზემოთ მითითებულ მისამართზე; </w:t>
      </w:r>
    </w:p>
    <w:p w:rsidR="00CB1364" w:rsidRPr="00C30CA0" w:rsidRDefault="00CB1364" w:rsidP="00CB1364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b/>
          <w:bCs/>
          <w:lang w:val="ka-GE"/>
        </w:rPr>
        <w:t xml:space="preserve">წარმოდგენის საბოლოო თარიღში </w:t>
      </w:r>
      <w:r w:rsidRPr="00C30CA0">
        <w:rPr>
          <w:rFonts w:asciiTheme="minorHAnsi" w:hAnsiTheme="minorHAnsi"/>
          <w:b/>
          <w:bCs/>
          <w:lang w:val="ka-GE"/>
        </w:rPr>
        <w:t xml:space="preserve">ან თარიღამდე: 2022 წლის </w:t>
      </w:r>
      <w:r w:rsidR="00C30CA0" w:rsidRPr="00C30CA0">
        <w:rPr>
          <w:rFonts w:asciiTheme="minorHAnsi" w:hAnsiTheme="minorHAnsi"/>
          <w:b/>
          <w:bCs/>
          <w:lang w:val="ka-GE"/>
        </w:rPr>
        <w:t>7</w:t>
      </w:r>
      <w:r w:rsidRPr="00C30CA0">
        <w:rPr>
          <w:rFonts w:asciiTheme="minorHAnsi" w:hAnsiTheme="minorHAnsi"/>
          <w:b/>
          <w:bCs/>
          <w:lang w:val="ka-GE"/>
        </w:rPr>
        <w:t xml:space="preserve"> მარტი, 15:00 სთ (თბილისის დრო) </w:t>
      </w:r>
    </w:p>
    <w:p w:rsidR="00CB1364" w:rsidRDefault="00CB1364" w:rsidP="00CB1364">
      <w:pPr>
        <w:pStyle w:val="ListParagraph"/>
        <w:numPr>
          <w:ilvl w:val="0"/>
          <w:numId w:val="15"/>
        </w:numPr>
        <w:contextualSpacing w:val="0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სატენდერო დოკუმენტაციაში აღწერილი სატენდერო წინადადების გარანტიასთან</w:t>
      </w:r>
      <w:r w:rsidR="00C30CA0">
        <w:rPr>
          <w:rFonts w:asciiTheme="minorHAnsi" w:hAnsiTheme="minorHAnsi"/>
          <w:lang w:val="ka-GE"/>
        </w:rPr>
        <w:t xml:space="preserve"> და სატენდერო წინადადების უზრუნველყოფის დეკლარაციასთან </w:t>
      </w:r>
      <w:r>
        <w:rPr>
          <w:rFonts w:asciiTheme="minorHAnsi" w:hAnsiTheme="minorHAnsi"/>
          <w:lang w:val="ka-GE"/>
        </w:rPr>
        <w:t>ერთად</w:t>
      </w:r>
      <w:r w:rsidR="00C30CA0">
        <w:rPr>
          <w:rFonts w:asciiTheme="minorHAnsi" w:hAnsiTheme="minorHAnsi"/>
          <w:lang w:val="ka-GE"/>
        </w:rPr>
        <w:t>.</w:t>
      </w:r>
      <w:r>
        <w:rPr>
          <w:rFonts w:asciiTheme="minorHAnsi" w:hAnsiTheme="minorHAnsi"/>
          <w:lang w:val="ka-GE"/>
        </w:rPr>
        <w:t xml:space="preserve"> </w:t>
      </w:r>
    </w:p>
    <w:p w:rsidR="00CB1364" w:rsidRDefault="00CB1364" w:rsidP="00CB1364">
      <w:p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სატენდერო წინადადებები გაიხსნება სატენდერო წინადადების წარმოდგენის ვადის ამოწურვისას პრეტენდენტების წარმომადგენლების (რომლებიც მოისურვებენ დასწრებას) თანდასწრებით. </w:t>
      </w:r>
    </w:p>
    <w:p w:rsidR="00C30CA0" w:rsidRPr="00C30CA0" w:rsidRDefault="00C30CA0" w:rsidP="00CB1364">
      <w:pPr>
        <w:rPr>
          <w:rFonts w:asciiTheme="minorHAnsi" w:hAnsiTheme="minorHAnsi"/>
          <w:i/>
          <w:lang w:val="ka-GE"/>
        </w:rPr>
      </w:pPr>
      <w:r w:rsidRPr="00C30CA0">
        <w:rPr>
          <w:rFonts w:asciiTheme="minorHAnsi" w:hAnsiTheme="minorHAnsi"/>
          <w:i/>
          <w:lang w:val="ka-GE"/>
        </w:rPr>
        <w:t>დაგვიანებული სატენდერო წინადადებები არ მიიღება.</w:t>
      </w:r>
    </w:p>
    <w:p w:rsidR="002319E8" w:rsidRPr="00C30CA0" w:rsidRDefault="00C30CA0" w:rsidP="00F458D5">
      <w:pPr>
        <w:pStyle w:val="ListParagraph"/>
        <w:numPr>
          <w:ilvl w:val="0"/>
          <w:numId w:val="12"/>
        </w:numPr>
        <w:contextualSpacing w:val="0"/>
        <w:rPr>
          <w:rFonts w:asciiTheme="minorHAnsi" w:hAnsiTheme="minorHAnsi"/>
          <w:lang w:val="ka-GE"/>
        </w:rPr>
      </w:pPr>
      <w:r w:rsidRPr="00C30CA0">
        <w:rPr>
          <w:rFonts w:asciiTheme="minorHAnsi" w:hAnsiTheme="minorHAnsi"/>
          <w:lang w:val="ka-GE"/>
        </w:rPr>
        <w:t>საქართველოს გაერთიანებული წყალმომარაგების კომპანია არა</w:t>
      </w:r>
      <w:r>
        <w:rPr>
          <w:rFonts w:asciiTheme="minorHAnsi" w:hAnsiTheme="minorHAnsi"/>
          <w:lang w:val="ka-GE"/>
        </w:rPr>
        <w:t>ა</w:t>
      </w:r>
      <w:r w:rsidRPr="00C30CA0">
        <w:rPr>
          <w:rFonts w:asciiTheme="minorHAnsi" w:hAnsiTheme="minorHAnsi"/>
          <w:lang w:val="ka-GE"/>
        </w:rPr>
        <w:t xml:space="preserve"> პასუხისმგებელი ხარჯებზე, რაც</w:t>
      </w:r>
      <w:r>
        <w:rPr>
          <w:rFonts w:asciiTheme="minorHAnsi" w:hAnsiTheme="minorHAnsi"/>
          <w:lang w:val="ka-GE"/>
        </w:rPr>
        <w:t xml:space="preserve"> </w:t>
      </w:r>
      <w:r w:rsidRPr="00C30CA0">
        <w:rPr>
          <w:rFonts w:asciiTheme="minorHAnsi" w:hAnsiTheme="minorHAnsi"/>
          <w:lang w:val="ka-GE"/>
        </w:rPr>
        <w:t>პრეტენდენტებმა გაიღეს სატენდერო წინადადებების მომზადებისა თუ ჩაბარების დროს.</w:t>
      </w:r>
    </w:p>
    <w:sectPr w:rsidR="002319E8" w:rsidRPr="00C30CA0" w:rsidSect="008F2F8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62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E5" w:rsidRDefault="007B5AE5" w:rsidP="00C80BEA">
      <w:pPr>
        <w:spacing w:after="0" w:line="240" w:lineRule="auto"/>
      </w:pPr>
      <w:r>
        <w:separator/>
      </w:r>
    </w:p>
  </w:endnote>
  <w:endnote w:type="continuationSeparator" w:id="0">
    <w:p w:rsidR="007B5AE5" w:rsidRDefault="007B5AE5" w:rsidP="00C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BPG SSP Crystal">
    <w:charset w:val="00"/>
    <w:family w:val="swiss"/>
    <w:pitch w:val="variable"/>
    <w:sig w:usb0="84000003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8B" w:rsidRDefault="008F2F8B">
    <w:pPr>
      <w:pStyle w:val="Footer"/>
    </w:pPr>
    <w:r w:rsidRPr="008E39B6">
      <w:rPr>
        <w:noProof/>
      </w:rPr>
      <w:drawing>
        <wp:inline distT="0" distB="0" distL="0" distR="0" wp14:anchorId="624C80DE" wp14:editId="2BF8A8E7">
          <wp:extent cx="2705100" cy="266700"/>
          <wp:effectExtent l="0" t="0" r="0" b="0"/>
          <wp:docPr id="131" name="Picture 131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8B" w:rsidRDefault="008F2F8B">
    <w:pPr>
      <w:pStyle w:val="Footer"/>
    </w:pPr>
    <w:r w:rsidRPr="008E39B6">
      <w:rPr>
        <w:noProof/>
      </w:rPr>
      <w:drawing>
        <wp:inline distT="0" distB="0" distL="0" distR="0" wp14:anchorId="64D9C411" wp14:editId="1143A6E8">
          <wp:extent cx="2705100" cy="266700"/>
          <wp:effectExtent l="0" t="0" r="0" b="0"/>
          <wp:docPr id="133" name="Picture 133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E5" w:rsidRDefault="007B5AE5" w:rsidP="00C80BEA">
      <w:pPr>
        <w:spacing w:after="0" w:line="240" w:lineRule="auto"/>
      </w:pPr>
      <w:r>
        <w:separator/>
      </w:r>
    </w:p>
  </w:footnote>
  <w:footnote w:type="continuationSeparator" w:id="0">
    <w:p w:rsidR="007B5AE5" w:rsidRDefault="007B5AE5" w:rsidP="00C80BEA">
      <w:pPr>
        <w:spacing w:after="0" w:line="240" w:lineRule="auto"/>
      </w:pPr>
      <w:r>
        <w:continuationSeparator/>
      </w:r>
    </w:p>
  </w:footnote>
  <w:footnote w:id="1">
    <w:p w:rsidR="00CB1364" w:rsidRPr="004475A4" w:rsidRDefault="00CB1364" w:rsidP="00CB1364">
      <w:pPr>
        <w:pStyle w:val="FootnoteText"/>
        <w:rPr>
          <w:b/>
          <w:bCs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b/>
          <w:bCs/>
          <w:lang w:val="ka-GE"/>
        </w:rPr>
        <w:t>2018, 2019, 2020 წლები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8B" w:rsidRDefault="008F2F8B" w:rsidP="008F2F8B">
    <w:pPr>
      <w:pStyle w:val="Header"/>
    </w:pPr>
  </w:p>
  <w:p w:rsidR="008F2F8B" w:rsidRDefault="008F2F8B" w:rsidP="008F2F8B">
    <w:pPr>
      <w:pStyle w:val="Header"/>
    </w:pPr>
  </w:p>
  <w:p w:rsidR="008F2F8B" w:rsidRDefault="008F2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8B" w:rsidRDefault="008F2F8B" w:rsidP="008F2F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-92075</wp:posOffset>
              </wp:positionH>
              <wp:positionV relativeFrom="paragraph">
                <wp:posOffset>873760</wp:posOffset>
              </wp:positionV>
              <wp:extent cx="6285865" cy="376555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F8B" w:rsidRPr="008F2F8B" w:rsidRDefault="008F2F8B" w:rsidP="008F2F8B">
                          <w:pPr>
                            <w:rPr>
                              <w:rFonts w:ascii="Sylfaen" w:hAnsi="Sylfae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ylfaen" w:hAnsi="Sylfaen"/>
                              <w:b/>
                              <w:sz w:val="24"/>
                              <w:szCs w:val="24"/>
                            </w:rPr>
                            <w:t>Invitation for Bids</w:t>
                          </w:r>
                        </w:p>
                        <w:p w:rsidR="008F2F8B" w:rsidRDefault="008F2F8B" w:rsidP="008F2F8B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sz w:val="40"/>
                              <w:szCs w:val="40"/>
                            </w:rPr>
                            <w:t>– Rebidding</w:t>
                          </w:r>
                        </w:p>
                        <w:p w:rsidR="008F2F8B" w:rsidRDefault="008F2F8B" w:rsidP="008F2F8B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  <w:p w:rsidR="008F2F8B" w:rsidRDefault="008F2F8B" w:rsidP="008F2F8B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  <w:p w:rsidR="008F2F8B" w:rsidRPr="00113500" w:rsidRDefault="008F2F8B" w:rsidP="008F2F8B">
                          <w:pPr>
                            <w:rPr>
                              <w:rFonts w:cs="Arial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.25pt;margin-top:68.8pt;width:494.9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im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" filled="f" stroked="f">
              <v:textbox>
                <w:txbxContent>
                  <w:p w:rsidR="008F2F8B" w:rsidRPr="008F2F8B" w:rsidRDefault="008F2F8B" w:rsidP="008F2F8B">
                    <w:pPr>
                      <w:rPr>
                        <w:rFonts w:ascii="Sylfaen" w:hAnsi="Sylfae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Sylfaen" w:hAnsi="Sylfaen"/>
                        <w:b/>
                        <w:sz w:val="24"/>
                        <w:szCs w:val="24"/>
                      </w:rPr>
                      <w:t>Invitation for Bids</w:t>
                    </w:r>
                  </w:p>
                  <w:p w:rsidR="008F2F8B" w:rsidRDefault="008F2F8B" w:rsidP="008F2F8B">
                    <w:pPr>
                      <w:rPr>
                        <w:rFonts w:cs="Arial"/>
                        <w:sz w:val="40"/>
                        <w:szCs w:val="40"/>
                      </w:rPr>
                    </w:pPr>
                    <w:r>
                      <w:rPr>
                        <w:rFonts w:cs="Arial"/>
                        <w:sz w:val="40"/>
                        <w:szCs w:val="40"/>
                      </w:rPr>
                      <w:t>– Rebidding</w:t>
                    </w:r>
                  </w:p>
                  <w:p w:rsidR="008F2F8B" w:rsidRDefault="008F2F8B" w:rsidP="008F2F8B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  <w:p w:rsidR="008F2F8B" w:rsidRDefault="008F2F8B" w:rsidP="008F2F8B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  <w:p w:rsidR="008F2F8B" w:rsidRPr="00113500" w:rsidRDefault="008F2F8B" w:rsidP="008F2F8B">
                    <w:pPr>
                      <w:rPr>
                        <w:rFonts w:cs="Arial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8E39B6">
      <w:rPr>
        <w:noProof/>
      </w:rPr>
      <w:drawing>
        <wp:inline distT="0" distB="0" distL="0" distR="0" wp14:anchorId="13FA23A0" wp14:editId="7E35711C">
          <wp:extent cx="895350" cy="895350"/>
          <wp:effectExtent l="0" t="0" r="0" b="0"/>
          <wp:docPr id="132" name="Picture 132" descr="25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F8B" w:rsidRDefault="008F2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E9A"/>
    <w:multiLevelType w:val="hybridMultilevel"/>
    <w:tmpl w:val="B0C61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40BD9"/>
    <w:multiLevelType w:val="hybridMultilevel"/>
    <w:tmpl w:val="FA5AE1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A3684"/>
    <w:multiLevelType w:val="hybridMultilevel"/>
    <w:tmpl w:val="33A829EA"/>
    <w:lvl w:ilvl="0" w:tplc="0409000D">
      <w:start w:val="1"/>
      <w:numFmt w:val="bullet"/>
      <w:lvlText w:val=""/>
      <w:lvlJc w:val="left"/>
      <w:pPr>
        <w:ind w:left="13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" w15:restartNumberingAfterBreak="0">
    <w:nsid w:val="2B8E3343"/>
    <w:multiLevelType w:val="hybridMultilevel"/>
    <w:tmpl w:val="1DD6E58E"/>
    <w:lvl w:ilvl="0" w:tplc="AC0A7E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7721F"/>
    <w:multiLevelType w:val="hybridMultilevel"/>
    <w:tmpl w:val="C77A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5775"/>
    <w:multiLevelType w:val="hybridMultilevel"/>
    <w:tmpl w:val="966AE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055AD"/>
    <w:multiLevelType w:val="hybridMultilevel"/>
    <w:tmpl w:val="14A451FC"/>
    <w:lvl w:ilvl="0" w:tplc="335A5EE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6709D"/>
    <w:multiLevelType w:val="hybridMultilevel"/>
    <w:tmpl w:val="7DAE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10A5F"/>
    <w:multiLevelType w:val="multilevel"/>
    <w:tmpl w:val="E598BEB6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Header3-Paragraph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864"/>
        </w:tabs>
        <w:ind w:left="864" w:hanging="432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FE73ACB"/>
    <w:multiLevelType w:val="hybridMultilevel"/>
    <w:tmpl w:val="E58A9ED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9506EE"/>
    <w:multiLevelType w:val="hybridMultilevel"/>
    <w:tmpl w:val="2EB0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C3616"/>
    <w:multiLevelType w:val="hybridMultilevel"/>
    <w:tmpl w:val="6878559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D32E88"/>
    <w:multiLevelType w:val="hybridMultilevel"/>
    <w:tmpl w:val="BB1E04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97740C"/>
    <w:multiLevelType w:val="hybridMultilevel"/>
    <w:tmpl w:val="86A6EEC2"/>
    <w:lvl w:ilvl="0" w:tplc="0409000D">
      <w:start w:val="1"/>
      <w:numFmt w:val="bullet"/>
      <w:lvlText w:val=""/>
      <w:lvlJc w:val="left"/>
      <w:pPr>
        <w:ind w:left="2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1" w:hanging="360"/>
      </w:pPr>
      <w:rPr>
        <w:rFonts w:ascii="Wingdings" w:hAnsi="Wingdings" w:hint="default"/>
      </w:rPr>
    </w:lvl>
  </w:abstractNum>
  <w:abstractNum w:abstractNumId="14" w15:restartNumberingAfterBreak="0">
    <w:nsid w:val="6D9F2D0C"/>
    <w:multiLevelType w:val="hybridMultilevel"/>
    <w:tmpl w:val="DD4411FE"/>
    <w:lvl w:ilvl="0" w:tplc="F7A65EDE">
      <w:start w:val="1"/>
      <w:numFmt w:val="lowerRoman"/>
      <w:lvlText w:val="(%1)"/>
      <w:lvlJc w:val="left"/>
      <w:pPr>
        <w:ind w:left="20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5" w15:restartNumberingAfterBreak="0">
    <w:nsid w:val="70EC6EF7"/>
    <w:multiLevelType w:val="hybridMultilevel"/>
    <w:tmpl w:val="39EEAD1A"/>
    <w:lvl w:ilvl="0" w:tplc="3FF2A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vertAlign w:val="baseline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E2468F"/>
    <w:multiLevelType w:val="hybridMultilevel"/>
    <w:tmpl w:val="2FB8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14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9E"/>
    <w:rsid w:val="00026597"/>
    <w:rsid w:val="00053D2A"/>
    <w:rsid w:val="000C5C76"/>
    <w:rsid w:val="001235B8"/>
    <w:rsid w:val="00195E45"/>
    <w:rsid w:val="001D2CBF"/>
    <w:rsid w:val="002319E8"/>
    <w:rsid w:val="0024630B"/>
    <w:rsid w:val="00274392"/>
    <w:rsid w:val="002C0DF8"/>
    <w:rsid w:val="002F3FD3"/>
    <w:rsid w:val="0043129E"/>
    <w:rsid w:val="00446455"/>
    <w:rsid w:val="00484183"/>
    <w:rsid w:val="005D1111"/>
    <w:rsid w:val="006079D0"/>
    <w:rsid w:val="00625508"/>
    <w:rsid w:val="00635360"/>
    <w:rsid w:val="00635A11"/>
    <w:rsid w:val="006560E7"/>
    <w:rsid w:val="00696F37"/>
    <w:rsid w:val="006B13CD"/>
    <w:rsid w:val="00743710"/>
    <w:rsid w:val="007569F9"/>
    <w:rsid w:val="007B5AE5"/>
    <w:rsid w:val="00803155"/>
    <w:rsid w:val="008520FC"/>
    <w:rsid w:val="008F2F8B"/>
    <w:rsid w:val="00932FDB"/>
    <w:rsid w:val="00B52485"/>
    <w:rsid w:val="00B7408E"/>
    <w:rsid w:val="00BA5B16"/>
    <w:rsid w:val="00BD1E00"/>
    <w:rsid w:val="00BF0F46"/>
    <w:rsid w:val="00C1667A"/>
    <w:rsid w:val="00C25047"/>
    <w:rsid w:val="00C30CA0"/>
    <w:rsid w:val="00C456CB"/>
    <w:rsid w:val="00C80BEA"/>
    <w:rsid w:val="00CB1364"/>
    <w:rsid w:val="00CE0642"/>
    <w:rsid w:val="00E07435"/>
    <w:rsid w:val="00E32FCE"/>
    <w:rsid w:val="00E34215"/>
    <w:rsid w:val="00EC029C"/>
    <w:rsid w:val="00F01F52"/>
    <w:rsid w:val="00F31FD3"/>
    <w:rsid w:val="00F514D1"/>
    <w:rsid w:val="00F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CEC982-0158-483F-837F-E5C28FDD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364"/>
    <w:pPr>
      <w:spacing w:after="120" w:line="312" w:lineRule="auto"/>
      <w:jc w:val="both"/>
    </w:pPr>
    <w:rPr>
      <w:rFonts w:ascii="BPG Glaho" w:eastAsia="BPG SSP Crystal" w:hAnsi="BPG Glaho" w:cs="BPG Glaho"/>
    </w:rPr>
  </w:style>
  <w:style w:type="paragraph" w:styleId="Heading4">
    <w:name w:val="heading 4"/>
    <w:aliases w:val=" Sub-Clause Sub-paragraph,ClauseSubSub_No&amp;Name"/>
    <w:basedOn w:val="Normal"/>
    <w:next w:val="Normal"/>
    <w:link w:val="Heading4Char"/>
    <w:qFormat/>
    <w:rsid w:val="00F31FD3"/>
    <w:pPr>
      <w:numPr>
        <w:ilvl w:val="3"/>
        <w:numId w:val="5"/>
      </w:numPr>
      <w:spacing w:after="20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F31FD3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F31FD3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F31FD3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31FD3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C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CB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5A1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8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BEA"/>
  </w:style>
  <w:style w:type="paragraph" w:styleId="Footer">
    <w:name w:val="footer"/>
    <w:basedOn w:val="Normal"/>
    <w:link w:val="FooterChar"/>
    <w:uiPriority w:val="99"/>
    <w:unhideWhenUsed/>
    <w:rsid w:val="00C80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EA"/>
  </w:style>
  <w:style w:type="character" w:customStyle="1" w:styleId="Heading4Char">
    <w:name w:val="Heading 4 Char"/>
    <w:aliases w:val=" Sub-Clause Sub-paragraph Char,ClauseSubSub_No&amp;Name Char"/>
    <w:basedOn w:val="DefaultParagraphFont"/>
    <w:link w:val="Heading4"/>
    <w:rsid w:val="00F31FD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31FD3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F31FD3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F31FD3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31FD3"/>
    <w:rPr>
      <w:rFonts w:ascii="Arial" w:eastAsia="Times New Roman" w:hAnsi="Arial" w:cs="Times New Roman"/>
      <w:b/>
      <w:i/>
      <w:sz w:val="18"/>
      <w:szCs w:val="20"/>
    </w:rPr>
  </w:style>
  <w:style w:type="paragraph" w:styleId="TOC1">
    <w:name w:val="toc 1"/>
    <w:basedOn w:val="Normal"/>
    <w:next w:val="Normal"/>
    <w:semiHidden/>
    <w:rsid w:val="00F31FD3"/>
    <w:p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er3-Paragraph">
    <w:name w:val="Header 3 - Paragraph"/>
    <w:basedOn w:val="Normal"/>
    <w:rsid w:val="00F31FD3"/>
    <w:pPr>
      <w:numPr>
        <w:ilvl w:val="1"/>
        <w:numId w:val="5"/>
      </w:numPr>
      <w:tabs>
        <w:tab w:val="clear" w:pos="504"/>
        <w:tab w:val="num" w:pos="864"/>
      </w:tabs>
      <w:spacing w:after="200" w:line="240" w:lineRule="auto"/>
      <w:ind w:left="1238" w:hanging="619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3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F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F31FD3"/>
    <w:rPr>
      <w:vertAlign w:val="superscript"/>
    </w:rPr>
  </w:style>
  <w:style w:type="character" w:styleId="CommentReference">
    <w:name w:val="annotation reference"/>
    <w:semiHidden/>
    <w:rsid w:val="000C5C7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C7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.amilakhvari@water.gov.g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procurement@water.gov.ge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gelashvili@water.gov.g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.mazanishvili@water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piranishvili@water.gov.g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amilakhvari</dc:creator>
  <cp:keywords/>
  <dc:description/>
  <cp:lastModifiedBy>Khatia Amilakhvari</cp:lastModifiedBy>
  <cp:revision>28</cp:revision>
  <dcterms:created xsi:type="dcterms:W3CDTF">2019-07-01T13:55:00Z</dcterms:created>
  <dcterms:modified xsi:type="dcterms:W3CDTF">2022-01-20T15:52:00Z</dcterms:modified>
</cp:coreProperties>
</file>